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324" w:lineRule="auto"/>
      </w:pPr>
      <w:r>
        <w:rPr>
          <w:rFonts w:ascii="Arial" w:hAnsi="Arial"/>
          <w:b/>
          <w:i w:val="0"/>
          <w:color w:val="666666"/>
          <w:sz w:val="20"/>
        </w:rPr>
        <w:t>The Human Advantage Lab</w:t>
      </w:r>
    </w:p>
    <w:p>
      <w:pPr>
        <w:spacing w:after="80" w:line="324" w:lineRule="auto"/>
      </w:pPr>
      <w:r>
        <w:rPr>
          <w:rFonts w:ascii="Arial" w:hAnsi="Arial"/>
          <w:b/>
          <w:i w:val="0"/>
          <w:sz w:val="36"/>
        </w:rPr>
        <w:t>Ergebnisprotokoll — Partner-Workshop 05.05.2026</w:t>
      </w:r>
    </w:p>
    <w:p>
      <w:pPr>
        <w:spacing w:after="80" w:line="324" w:lineRule="auto"/>
      </w:pPr>
      <w:r>
        <w:rPr>
          <w:rFonts w:ascii="Arial" w:hAnsi="Arial"/>
          <w:b w:val="0"/>
          <w:i/>
          <w:color w:val="666666"/>
          <w:sz w:val="20"/>
        </w:rPr>
        <w:t>KI-gestütztes Wertschöpfungs-Betriebssystem · Governance gegen Schatten-IT · Beratungsprogramm und Vermarktung</w:t>
      </w:r>
    </w:p>
    <w:p>
      <w:pPr>
        <w:spacing w:after="320" w:line="324" w:lineRule="auto"/>
      </w:pPr>
      <w:r>
        <w:rPr>
          <w:rFonts w:ascii="Arial" w:hAnsi="Arial"/>
          <w:b w:val="0"/>
          <w:i/>
          <w:color w:val="666666"/>
          <w:sz w:val="20"/>
        </w:rPr>
        <w:t>Verfasst auf Grundlage der Audio-Mitschrift, Stand 12.05.2026</w:t>
      </w:r>
    </w:p>
    <w:p>
      <w:pPr>
        <w:spacing w:before="80" w:after="200"/>
        <w:pBdr>
          <w:bottom w:val="single" w:sz="6" w:space="1" w:color="999999"/>
        </w:pBdr>
      </w:pPr>
    </w:p>
    <w:p>
      <w:pPr>
        <w:spacing w:after="60"/>
      </w:pPr>
      <w:r>
        <w:rPr>
          <w:rFonts w:ascii="Arial" w:hAnsi="Arial"/>
          <w:b/>
          <w:i w:val="0"/>
          <w:sz w:val="20"/>
        </w:rPr>
        <w:t xml:space="preserve">Datum / Beginn  </w:t>
      </w:r>
      <w:r>
        <w:rPr>
          <w:rFonts w:ascii="Arial" w:hAnsi="Arial"/>
          <w:b w:val="0"/>
          <w:i w:val="0"/>
          <w:sz w:val="20"/>
        </w:rPr>
        <w:t>5. Mai 2026, ca. 11:30</w:t>
      </w:r>
    </w:p>
    <w:p>
      <w:pPr>
        <w:spacing w:after="60"/>
      </w:pPr>
      <w:r>
        <w:rPr>
          <w:rFonts w:ascii="Arial" w:hAnsi="Arial"/>
          <w:b/>
          <w:i w:val="0"/>
          <w:sz w:val="20"/>
        </w:rPr>
        <w:t xml:space="preserve">Anwesend  </w:t>
      </w:r>
      <w:r>
        <w:rPr>
          <w:rFonts w:ascii="Arial" w:hAnsi="Arial"/>
          <w:b w:val="0"/>
          <w:i w:val="0"/>
          <w:sz w:val="20"/>
        </w:rPr>
        <w:t>Pieter „Piet“ van der Veen (RoomToAct, im Transkript Speaker 1) · Christopher P. Peterka (gannaca, Speaker 2) · Dirk „Kels“ Kels (Kels Design, Speaker 3)</w:t>
      </w:r>
    </w:p>
    <w:p>
      <w:pPr>
        <w:spacing w:after="60"/>
      </w:pPr>
      <w:r>
        <w:rPr>
          <w:rFonts w:ascii="Arial" w:hAnsi="Arial"/>
          <w:b/>
          <w:i w:val="0"/>
          <w:sz w:val="20"/>
        </w:rPr>
        <w:t xml:space="preserve">Vor Beginn vorgelegt  </w:t>
      </w:r>
      <w:r>
        <w:rPr>
          <w:rFonts w:ascii="Arial" w:hAnsi="Arial"/>
          <w:b w:val="0"/>
          <w:i w:val="0"/>
          <w:sz w:val="20"/>
        </w:rPr>
        <w:t>Christophers Hausaufgabe „Workshop-Vorbereitung 5. Mai 2026“ (Netzwerk-Inventur 20 Leads, Vermarktungsstrategie-Entwurf, Stripe-/Bookings-Status)</w:t>
      </w:r>
    </w:p>
    <w:p>
      <w:pPr>
        <w:spacing w:after="60"/>
      </w:pPr>
      <w:r>
        <w:rPr>
          <w:rFonts w:ascii="Arial" w:hAnsi="Arial"/>
          <w:b/>
          <w:i w:val="0"/>
          <w:sz w:val="20"/>
        </w:rPr>
        <w:t xml:space="preserve">Pilot-Ziel  </w:t>
      </w:r>
      <w:r>
        <w:rPr>
          <w:rFonts w:ascii="Arial" w:hAnsi="Arial"/>
          <w:b w:val="0"/>
          <w:i w:val="0"/>
          <w:sz w:val="20"/>
        </w:rPr>
        <w:t>Pilot im Herbst 2026, Entscheidung über Produktion vor den NRW-Sommerferien</w:t>
      </w:r>
    </w:p>
    <w:p>
      <w:pPr>
        <w:spacing w:after="160" w:line="324" w:lineRule="auto"/>
      </w:pPr>
      <w:r>
        <w:rPr>
          <w:rFonts w:ascii="Arial" w:hAnsi="Arial"/>
          <w:b w:val="0"/>
          <w:i w:val="0"/>
          <w:sz w:val="22"/>
        </w:rPr>
      </w:r>
    </w:p>
    <w:p>
      <w:pPr>
        <w:spacing w:before="360" w:after="160"/>
      </w:pPr>
      <w:r>
        <w:rPr>
          <w:rFonts w:ascii="Arial" w:hAnsi="Arial"/>
          <w:b/>
          <w:i w:val="0"/>
          <w:sz w:val="32"/>
        </w:rPr>
        <w:t>Worum es ging</w:t>
      </w:r>
    </w:p>
    <w:p>
      <w:pPr>
        <w:spacing w:before="120" w:after="200"/>
        <w:ind w:left="454"/>
        <w:pBdr>
          <w:left w:val="single" w:sz="18" w:space="8" w:color="D4802A"/>
        </w:pBdr>
      </w:pPr>
      <w:r>
        <w:rPr>
          <w:rFonts w:ascii="Arial" w:hAnsi="Arial"/>
          <w:b w:val="0"/>
          <w:i/>
          <w:sz w:val="22"/>
        </w:rPr>
        <w:t>„Es ist keine zufällige Würfelung oder der Trupp der Verzweifelten, sondern eine hochgradig komplementäre, sinnvolle Figur vor dem Hintergrund der These, dass ein komplett neues Betriebssystem zu verstehen ist, was nur mit diesen drei Komponenten funktionieren kann." (Christopher, 00:01)</w:t>
      </w:r>
    </w:p>
    <w:p>
      <w:pPr>
        <w:spacing w:after="160" w:line="324" w:lineRule="auto"/>
      </w:pPr>
      <w:r>
        <w:rPr>
          <w:rFonts w:ascii="Arial" w:hAnsi="Arial"/>
          <w:b w:val="0"/>
          <w:i w:val="0"/>
          <w:sz w:val="22"/>
        </w:rPr>
        <w:t>Der Workshop hatte vier Schwerpunkte: die Schärfung der gemeinsamen Argumentation rund um das KI-gestützte Wertschöpfungs-Betriebssystem, die Frage nach der konkreten Vermarktungs-Mechanik (Ansprache, Landingpages, Whitepaper, LinkedIn), Piets Klärung zur Verwendung seiner Kontakte, und der Zeitplan bis zur Entscheidung über die Pilot-Produktion.</w:t>
      </w:r>
    </w:p>
    <w:p>
      <w:pPr>
        <w:spacing w:before="360" w:after="160"/>
      </w:pPr>
      <w:r>
        <w:rPr>
          <w:rFonts w:ascii="Arial" w:hAnsi="Arial"/>
          <w:b/>
          <w:i w:val="0"/>
          <w:sz w:val="32"/>
        </w:rPr>
        <w:t>1.  Die gemeinsame Argumentation — wie wir HAL beschreiben</w:t>
      </w:r>
    </w:p>
    <w:p>
      <w:pPr>
        <w:spacing w:before="280" w:after="120"/>
      </w:pPr>
      <w:r>
        <w:rPr>
          <w:rFonts w:ascii="Arial" w:hAnsi="Arial"/>
          <w:b/>
          <w:i w:val="0"/>
          <w:sz w:val="26"/>
        </w:rPr>
        <w:t>Was HAL ist — und was nicht</w:t>
      </w:r>
    </w:p>
    <w:p>
      <w:pPr>
        <w:spacing w:after="160" w:line="324" w:lineRule="auto"/>
      </w:pPr>
      <w:r>
        <w:rPr>
          <w:rFonts w:ascii="Arial" w:hAnsi="Arial"/>
          <w:b w:val="0"/>
          <w:i w:val="0"/>
          <w:sz w:val="22"/>
        </w:rPr>
        <w:t>Wir verkaufen kein Incentive, keinen Spaß-Offsite, keine Innovation-Performance und keine Kulturshow. HAL adressiert ein neues Top-Risiko: die Unterlassung, sich mit dem Wechsel des Wertschöpfungs-Betriebssystems adäquat auseinanderzusetzen. Das macht den Zugang zu Vorständen, GRC-Verantwortlichen und Aufsichtsräten leichter als ein Format, das sich primär über Kreativität legitimiert.</w:t>
      </w:r>
    </w:p>
    <w:p>
      <w:pPr>
        <w:spacing w:after="100" w:line="324" w:lineRule="auto"/>
        <w:ind w:left="340" w:hanging="283"/>
      </w:pPr>
      <w:r>
        <w:rPr>
          <w:rFonts w:ascii="Arial" w:hAnsi="Arial"/>
          <w:b/>
          <w:i w:val="0"/>
          <w:sz w:val="22"/>
        </w:rPr>
        <w:t xml:space="preserve">• </w:t>
      </w:r>
      <w:r>
        <w:rPr>
          <w:rFonts w:ascii="Arial" w:hAnsi="Arial"/>
          <w:b/>
          <w:i w:val="0"/>
          <w:sz w:val="22"/>
        </w:rPr>
        <w:t xml:space="preserve">Christopher </w:t>
      </w:r>
      <w:r>
        <w:rPr>
          <w:rFonts w:ascii="Arial" w:hAnsi="Arial"/>
          <w:b w:val="0"/>
          <w:i w:val="0"/>
          <w:sz w:val="22"/>
        </w:rPr>
        <w:t>„Ich liebe das, wenn ich höre Governance, weil in der extremen Form reden wir hier über ein neues Top-Risiko, was letztendlich in der Unterlassung besteht, sich mit diesem Thema adäquat auseinanderzusetzen."“ (01:17)</w:t>
      </w:r>
    </w:p>
    <w:p>
      <w:pPr>
        <w:spacing w:after="100" w:line="324" w:lineRule="auto"/>
        <w:ind w:left="340" w:hanging="283"/>
      </w:pPr>
      <w:r>
        <w:rPr>
          <w:rFonts w:ascii="Arial" w:hAnsi="Arial"/>
          <w:b/>
          <w:i w:val="0"/>
          <w:sz w:val="22"/>
        </w:rPr>
        <w:t xml:space="preserve">• </w:t>
      </w:r>
      <w:r>
        <w:rPr>
          <w:rFonts w:ascii="Arial" w:hAnsi="Arial"/>
          <w:b/>
          <w:i w:val="0"/>
          <w:sz w:val="22"/>
        </w:rPr>
        <w:t xml:space="preserve">Piet </w:t>
      </w:r>
      <w:r>
        <w:rPr>
          <w:rFonts w:ascii="Arial" w:hAnsi="Arial"/>
          <w:b w:val="0"/>
          <w:i w:val="0"/>
          <w:sz w:val="22"/>
        </w:rPr>
        <w:t>„Mir geht es nicht darum, Geld zu verdienen und Spaß zu haben. Es geht mir schon darum, dass man hier was reinstellt, hinter dem man voll steht und da selber auch Verantwortung übernimmt."“ (01:26)</w:t>
      </w:r>
    </w:p>
    <w:p>
      <w:pPr>
        <w:spacing w:after="100" w:line="324" w:lineRule="auto"/>
        <w:ind w:left="340" w:hanging="283"/>
      </w:pPr>
      <w:r>
        <w:rPr>
          <w:rFonts w:ascii="Arial" w:hAnsi="Arial"/>
          <w:b/>
          <w:i w:val="0"/>
          <w:sz w:val="22"/>
        </w:rPr>
        <w:t xml:space="preserve">• </w:t>
      </w:r>
      <w:r>
        <w:rPr>
          <w:rFonts w:ascii="Arial" w:hAnsi="Arial"/>
          <w:b/>
          <w:i w:val="0"/>
          <w:sz w:val="22"/>
        </w:rPr>
        <w:t xml:space="preserve">Kels </w:t>
      </w:r>
      <w:r>
        <w:rPr>
          <w:rFonts w:ascii="Arial" w:hAnsi="Arial"/>
          <w:b w:val="0"/>
          <w:i w:val="0"/>
          <w:sz w:val="22"/>
        </w:rPr>
        <w:t>„Die Glaubwürdigkeit, die bei den einzelnen Teilen untereinander fehlt, von den anderen ergänzt wird. Das ist ja gerade die Stärke."“ (01:28)</w:t>
      </w:r>
    </w:p>
    <w:p>
      <w:pPr>
        <w:spacing w:before="280" w:after="120"/>
      </w:pPr>
      <w:r>
        <w:rPr>
          <w:rFonts w:ascii="Arial" w:hAnsi="Arial"/>
          <w:b/>
          <w:i w:val="0"/>
          <w:sz w:val="26"/>
        </w:rPr>
        <w:t>Die zehn Sätze — was wir bis 30.05. liefern</w:t>
      </w:r>
    </w:p>
    <w:p>
      <w:pPr>
        <w:spacing w:after="160" w:line="324" w:lineRule="auto"/>
      </w:pPr>
      <w:r>
        <w:rPr>
          <w:rFonts w:ascii="Arial" w:hAnsi="Arial"/>
          <w:b w:val="0"/>
          <w:i w:val="0"/>
          <w:sz w:val="22"/>
        </w:rPr>
        <w:t>Christopher schlägt vor, in 5—10 Sätzen die gemeinsame Weltanschauung zu formulieren („nicht als fauler Kompromiss, sondern als tatsächliche gemeinsame Überzeugung“), daneben einen zweiten Zettel mit der Sales-Argumentation, der den Anschluss — „willst du dabei sein?“ — herstellt, ohne ein Guru-Login zu inszenieren.</w:t>
      </w:r>
    </w:p>
    <w:p>
      <w:pPr>
        <w:spacing w:after="100" w:line="324" w:lineRule="auto"/>
        <w:ind w:left="340" w:hanging="283"/>
      </w:pPr>
      <w:r>
        <w:rPr>
          <w:rFonts w:ascii="Arial" w:hAnsi="Arial"/>
          <w:b/>
          <w:i w:val="0"/>
          <w:sz w:val="22"/>
        </w:rPr>
        <w:t xml:space="preserve">• </w:t>
      </w:r>
      <w:r>
        <w:rPr>
          <w:rFonts w:ascii="Arial" w:hAnsi="Arial"/>
          <w:b/>
          <w:i w:val="0"/>
          <w:sz w:val="22"/>
        </w:rPr>
        <w:t xml:space="preserve">Zentrale Begriffe, die wir setzen: </w:t>
      </w:r>
      <w:r>
        <w:rPr>
          <w:rFonts w:ascii="Arial" w:hAnsi="Arial"/>
          <w:b w:val="0"/>
          <w:i w:val="0"/>
          <w:sz w:val="22"/>
        </w:rPr>
        <w:t>Wertschöpfungs-Betriebssystem · Schatten-IT · Governance · Risk/Compliance/Strategy · Sustainability im Sinne von Überlebensfähigkeit · Souveränität durch parallele KI-Infrastruktur (Room-to-Act-KI, Kels Design &amp; Partner-KI, gannaca-KI) statt reiner Microsoft-Abhängigkeit.</w:t>
      </w:r>
    </w:p>
    <w:p>
      <w:pPr>
        <w:spacing w:after="100" w:line="324" w:lineRule="auto"/>
        <w:ind w:left="340" w:hanging="283"/>
      </w:pPr>
      <w:r>
        <w:rPr>
          <w:rFonts w:ascii="Arial" w:hAnsi="Arial"/>
          <w:b/>
          <w:i w:val="0"/>
          <w:sz w:val="22"/>
        </w:rPr>
        <w:t xml:space="preserve">• </w:t>
      </w:r>
      <w:r>
        <w:rPr>
          <w:rFonts w:ascii="Arial" w:hAnsi="Arial"/>
          <w:b/>
          <w:i w:val="0"/>
          <w:sz w:val="22"/>
        </w:rPr>
        <w:t xml:space="preserve">Sprachniveau (Kels): </w:t>
      </w:r>
      <w:r>
        <w:rPr>
          <w:rFonts w:ascii="Arial" w:hAnsi="Arial"/>
          <w:b w:val="0"/>
          <w:i w:val="0"/>
          <w:sz w:val="22"/>
        </w:rPr>
        <w:t>B1, nicht naiv klingen, aber für die Ansprache so reduziert, dass es „die Leute, die du ansprichst, abholt“.</w:t>
      </w:r>
    </w:p>
    <w:p>
      <w:pPr>
        <w:spacing w:after="100" w:line="324" w:lineRule="auto"/>
        <w:ind w:left="340" w:hanging="283"/>
      </w:pPr>
      <w:r>
        <w:rPr>
          <w:rFonts w:ascii="Arial" w:hAnsi="Arial"/>
          <w:b/>
          <w:i w:val="0"/>
          <w:sz w:val="22"/>
        </w:rPr>
        <w:t xml:space="preserve">• </w:t>
      </w:r>
      <w:r>
        <w:rPr>
          <w:rFonts w:ascii="Arial" w:hAnsi="Arial"/>
          <w:b/>
          <w:i w:val="0"/>
          <w:sz w:val="22"/>
        </w:rPr>
        <w:t xml:space="preserve">Bildebene: </w:t>
      </w:r>
      <w:r>
        <w:rPr>
          <w:rFonts w:ascii="Arial" w:hAnsi="Arial"/>
          <w:b w:val="0"/>
          <w:i w:val="0"/>
          <w:sz w:val="22"/>
        </w:rPr>
        <w:t>Frosch-im-Kochtopf (Wasserstoff-Kerosin-Gemisch statt Butan) · 1995-S&amp;P-500-Analogie (sieben Tech-Unternehmen bestimmen den Wertzuwachs) · Bankability-Beispiel (Den-Haager Menschenrechtsrichter) · Nokia-Pivot vom Gummistiefel zum Mobiltelefon · Matrix blaue/rote Pille.</w:t>
      </w:r>
    </w:p>
    <w:p>
      <w:pPr>
        <w:spacing w:before="280" w:after="120"/>
      </w:pPr>
      <w:r>
        <w:rPr>
          <w:rFonts w:ascii="Arial" w:hAnsi="Arial"/>
          <w:b/>
          <w:i w:val="0"/>
          <w:sz w:val="26"/>
        </w:rPr>
        <w:t>Anekdote als Anker</w:t>
      </w:r>
    </w:p>
    <w:p>
      <w:pPr>
        <w:spacing w:after="160" w:line="324" w:lineRule="auto"/>
      </w:pPr>
      <w:r>
        <w:rPr>
          <w:rFonts w:ascii="Arial" w:hAnsi="Arial"/>
          <w:b w:val="0"/>
          <w:i w:val="0"/>
          <w:sz w:val="22"/>
        </w:rPr>
        <w:t>Christopher hat das Beispiel von Simon Rahn (33, Hauptanteilseigner einer 276 Jahre alten Privatbank in Zürich) eingebracht, der den Microsoft-Copilot-Kauf für Bankability hält und dabei übersieht, dass er die Bank zu einem Anhängsel von Microsoft macht. Diese Anekdote ist als wiederverwendbares Eröffnungsbild markiert.</w:t>
      </w:r>
    </w:p>
    <w:p>
      <w:pPr>
        <w:spacing w:before="360" w:after="160"/>
      </w:pPr>
      <w:r>
        <w:rPr>
          <w:rFonts w:ascii="Arial" w:hAnsi="Arial"/>
          <w:b/>
          <w:i w:val="0"/>
          <w:sz w:val="32"/>
        </w:rPr>
        <w:t>2.  Vermarktungs-Mechanik — Listen, Landingpages, Whitepaper</w:t>
      </w:r>
    </w:p>
    <w:p>
      <w:pPr>
        <w:spacing w:before="280" w:after="120"/>
      </w:pPr>
      <w:r>
        <w:rPr>
          <w:rFonts w:ascii="Arial" w:hAnsi="Arial"/>
          <w:b/>
          <w:i w:val="0"/>
          <w:sz w:val="26"/>
        </w:rPr>
        <w:t>Die kombinierten Listen</w:t>
      </w:r>
    </w:p>
    <w:p>
      <w:pPr>
        <w:spacing w:after="160" w:line="324" w:lineRule="auto"/>
      </w:pPr>
      <w:r>
        <w:rPr>
          <w:rFonts w:ascii="Arial" w:hAnsi="Arial"/>
          <w:b w:val="0"/>
          <w:i w:val="0"/>
          <w:sz w:val="22"/>
        </w:rPr>
        <w:t>Wir kommen aus den drei Listen zusammen auf eine Gesamtordnung von rund 60—80 Kontakten, hochpersönlich angesprochen.</w:t>
      </w:r>
    </w:p>
    <w:p>
      <w:pPr>
        <w:spacing w:after="100" w:line="324" w:lineRule="auto"/>
        <w:ind w:left="340" w:hanging="283"/>
      </w:pPr>
      <w:r>
        <w:rPr>
          <w:rFonts w:ascii="Arial" w:hAnsi="Arial"/>
          <w:b/>
          <w:i w:val="0"/>
          <w:sz w:val="22"/>
        </w:rPr>
        <w:t xml:space="preserve">• </w:t>
      </w:r>
      <w:r>
        <w:rPr>
          <w:rFonts w:ascii="Arial" w:hAnsi="Arial"/>
          <w:b/>
          <w:i w:val="0"/>
          <w:sz w:val="22"/>
        </w:rPr>
        <w:t xml:space="preserve">Christopher </w:t>
      </w:r>
      <w:r>
        <w:rPr>
          <w:rFonts w:ascii="Arial" w:hAnsi="Arial"/>
          <w:b w:val="0"/>
          <w:i w:val="0"/>
          <w:sz w:val="22"/>
        </w:rPr>
        <w:t>hat seine 20 Leads in der Hausaufgabe vorgelegt (8 nah · 9 bekannt · 3 lose), Schwerpunkte Banken/Investment, Energie, Health, Multiplikatoren/Medien.</w:t>
      </w:r>
    </w:p>
    <w:p>
      <w:pPr>
        <w:spacing w:after="100" w:line="324" w:lineRule="auto"/>
        <w:ind w:left="340" w:hanging="283"/>
      </w:pPr>
      <w:r>
        <w:rPr>
          <w:rFonts w:ascii="Arial" w:hAnsi="Arial"/>
          <w:b/>
          <w:i w:val="0"/>
          <w:sz w:val="22"/>
        </w:rPr>
        <w:t xml:space="preserve">• </w:t>
      </w:r>
      <w:r>
        <w:rPr>
          <w:rFonts w:ascii="Arial" w:hAnsi="Arial"/>
          <w:b/>
          <w:i w:val="0"/>
          <w:sz w:val="22"/>
        </w:rPr>
        <w:t xml:space="preserve">Piet </w:t>
      </w:r>
      <w:r>
        <w:rPr>
          <w:rFonts w:ascii="Arial" w:hAnsi="Arial"/>
          <w:b w:val="0"/>
          <w:i w:val="0"/>
          <w:sz w:val="22"/>
        </w:rPr>
        <w:t>hat seine Liste in zwei Flughöhen vorgestellt: oben Aufsichtsräte und Vorstände aus Pharma/Textil/börsennotierten Konzernen (Heavy Rates mit Multiplikatorwirkung), in der Mitte das Governance-Risk-Compliance-Cluster (UBS, Schweizer Großunternehmen, Mittelstand DE), darunter Dental (Verbände, Hochschullehre, mittelständische Praxen am Pivot) und Energie (u.a. ehem. Vattenfall-GF Batenemi). Wichtig: Piet will die Liste nicht per LinkedIn verarbeiten, sondern „ich werde anrufen“.</w:t>
      </w:r>
    </w:p>
    <w:p>
      <w:pPr>
        <w:spacing w:after="100" w:line="324" w:lineRule="auto"/>
        <w:ind w:left="340" w:hanging="283"/>
      </w:pPr>
      <w:r>
        <w:rPr>
          <w:rFonts w:ascii="Arial" w:hAnsi="Arial"/>
          <w:b/>
          <w:i w:val="0"/>
          <w:sz w:val="22"/>
        </w:rPr>
        <w:t xml:space="preserve">• </w:t>
      </w:r>
      <w:r>
        <w:rPr>
          <w:rFonts w:ascii="Arial" w:hAnsi="Arial"/>
          <w:b/>
          <w:i w:val="0"/>
          <w:sz w:val="22"/>
        </w:rPr>
        <w:t xml:space="preserve">Kels </w:t>
      </w:r>
      <w:r>
        <w:rPr>
          <w:rFonts w:ascii="Arial" w:hAnsi="Arial"/>
          <w:b w:val="0"/>
          <w:i w:val="0"/>
          <w:sz w:val="22"/>
        </w:rPr>
        <w:t>hat seine Liste mit ca. 17 Namen durchgegangen (u.a. Krawinkel/PWM, Lamers/gewiss, Deloy/Gaffel, Andreas/Living Concept, Blatzheim/Bayerlaer Museums AG, Köhnen/Siegfried-Gen, Talmon/Retail Academy, Karnstedt/Onco Health, Patrick/St.Pauli, Joost/Goethe-Institut, Mugli/Privatbank Schweiz, Gutjahr/BASF Coatings, Steinhoff/Normtech Hybeta, Könen/Ebuvet). Kels wird primär schriftlich anschreiben — nicht telefonisch.</w:t>
      </w:r>
    </w:p>
    <w:p>
      <w:pPr>
        <w:spacing w:before="280" w:after="120"/>
      </w:pPr>
      <w:r>
        <w:rPr>
          <w:rFonts w:ascii="Arial" w:hAnsi="Arial"/>
          <w:b/>
          <w:i w:val="0"/>
          <w:sz w:val="26"/>
        </w:rPr>
        <w:t>Drei-Wege-Logik bis zum Vorgespräch</w:t>
      </w:r>
    </w:p>
    <w:p>
      <w:pPr>
        <w:spacing w:after="160" w:line="324" w:lineRule="auto"/>
      </w:pPr>
      <w:r>
        <w:rPr>
          <w:rFonts w:ascii="Arial" w:hAnsi="Arial"/>
          <w:b w:val="0"/>
          <w:i w:val="0"/>
          <w:sz w:val="22"/>
        </w:rPr>
        <w:t>Die Mechanik, auf die wir uns geeinigt haben: aus jeder Ansprache wird ein qualifiziertes Vorgespräch — und aus dem Vorgespräch entweder eine Buchung oder eine Empfehlung. Wer nicht buchen will, soll trotzdem das Gefühl haben, etwas weitergeben zu können (Christopher: „wie bei einem exklusiven Ticket für eine Veranstaltung“).</w:t>
      </w:r>
    </w:p>
    <w:p>
      <w:pPr>
        <w:spacing w:after="100" w:line="324" w:lineRule="auto"/>
        <w:ind w:left="340" w:hanging="283"/>
      </w:pPr>
      <w:r>
        <w:rPr>
          <w:rFonts w:ascii="Arial" w:hAnsi="Arial"/>
          <w:b/>
          <w:i w:val="0"/>
          <w:sz w:val="22"/>
        </w:rPr>
        <w:t xml:space="preserve">• </w:t>
      </w:r>
      <w:r>
        <w:rPr>
          <w:rFonts w:ascii="Arial" w:hAnsi="Arial"/>
          <w:b/>
          <w:i w:val="0"/>
          <w:sz w:val="22"/>
        </w:rPr>
        <w:t xml:space="preserve">Christopher </w:t>
      </w:r>
      <w:r>
        <w:rPr>
          <w:rFonts w:ascii="Arial" w:hAnsi="Arial"/>
          <w:b w:val="0"/>
          <w:i w:val="0"/>
          <w:sz w:val="22"/>
        </w:rPr>
        <w:t>arbeitet schriftlich und mündlich, mit individualisierter Mini-Argumentation pro Person.</w:t>
      </w:r>
    </w:p>
    <w:p>
      <w:pPr>
        <w:spacing w:after="100" w:line="324" w:lineRule="auto"/>
        <w:ind w:left="340" w:hanging="283"/>
      </w:pPr>
      <w:r>
        <w:rPr>
          <w:rFonts w:ascii="Arial" w:hAnsi="Arial"/>
          <w:b/>
          <w:i w:val="0"/>
          <w:sz w:val="22"/>
        </w:rPr>
        <w:t xml:space="preserve">• </w:t>
      </w:r>
      <w:r>
        <w:rPr>
          <w:rFonts w:ascii="Arial" w:hAnsi="Arial"/>
          <w:b/>
          <w:i w:val="0"/>
          <w:sz w:val="22"/>
        </w:rPr>
        <w:t xml:space="preserve">Piet </w:t>
      </w:r>
      <w:r>
        <w:rPr>
          <w:rFonts w:ascii="Arial" w:hAnsi="Arial"/>
          <w:b w:val="0"/>
          <w:i w:val="0"/>
          <w:sz w:val="22"/>
        </w:rPr>
        <w:t>primär Telefon, persönliche Ansprache, kein LinkedIn.</w:t>
      </w:r>
    </w:p>
    <w:p>
      <w:pPr>
        <w:spacing w:after="100" w:line="324" w:lineRule="auto"/>
        <w:ind w:left="340" w:hanging="283"/>
      </w:pPr>
      <w:r>
        <w:rPr>
          <w:rFonts w:ascii="Arial" w:hAnsi="Arial"/>
          <w:b/>
          <w:i w:val="0"/>
          <w:sz w:val="22"/>
        </w:rPr>
        <w:t xml:space="preserve">• </w:t>
      </w:r>
      <w:r>
        <w:rPr>
          <w:rFonts w:ascii="Arial" w:hAnsi="Arial"/>
          <w:b/>
          <w:i w:val="0"/>
          <w:sz w:val="22"/>
        </w:rPr>
        <w:t xml:space="preserve">Kels </w:t>
      </w:r>
      <w:r>
        <w:rPr>
          <w:rFonts w:ascii="Arial" w:hAnsi="Arial"/>
          <w:b w:val="0"/>
          <w:i w:val="0"/>
          <w:sz w:val="22"/>
        </w:rPr>
        <w:t>primär schriftlich/digital, LinkedIn als Portal, weil viele Kontakte nicht telefonisch erreichbar sind.</w:t>
      </w:r>
    </w:p>
    <w:p>
      <w:pPr>
        <w:spacing w:before="280" w:after="120"/>
      </w:pPr>
      <w:r>
        <w:rPr>
          <w:rFonts w:ascii="Arial" w:hAnsi="Arial"/>
          <w:b/>
          <w:i w:val="0"/>
          <w:sz w:val="26"/>
        </w:rPr>
        <w:t>Individuelle Landingpages — die produktivere Idee des Tages</w:t>
      </w:r>
    </w:p>
    <w:p>
      <w:pPr>
        <w:spacing w:after="160" w:line="324" w:lineRule="auto"/>
      </w:pPr>
      <w:r>
        <w:rPr>
          <w:rFonts w:ascii="Arial" w:hAnsi="Arial"/>
          <w:b w:val="0"/>
          <w:i w:val="0"/>
          <w:sz w:val="22"/>
        </w:rPr>
        <w:t>Statt einer einzigen statischen Webseite bauen wir eine „Weiche“: eine generische Landingpage, von der aus individuelle Sub-URLs für jeden ausgewählten Kontakt führen (Vorschlag aus dem Workshop: thehumanadvantagelab.de/karnstedt, /krawinkel etc.). Auf der individuellen Seite steht eine personalisierte Argumentation — Unternehmen, Rolle, Kernempfehlung aus der KI-Analyse —, primärer Button „Vorgespräch buchen“, sekundärer Button „Whitepaper herunterladen“. Datenschutz-Hinweis (Kels) ist Pflicht: nur öffentlich verfügbare Quellen, dezenter Eyebrow-Hinweis auf der Seite.</w:t>
      </w:r>
    </w:p>
    <w:p>
      <w:pPr>
        <w:spacing w:before="280" w:after="120"/>
      </w:pPr>
      <w:r>
        <w:rPr>
          <w:rFonts w:ascii="Arial" w:hAnsi="Arial"/>
          <w:b/>
          <w:i w:val="0"/>
          <w:sz w:val="26"/>
        </w:rPr>
        <w:t>Whitepaper als Anker</w:t>
      </w:r>
    </w:p>
    <w:p>
      <w:pPr>
        <w:spacing w:after="160" w:line="324" w:lineRule="auto"/>
      </w:pPr>
      <w:r>
        <w:rPr>
          <w:rFonts w:ascii="Arial" w:hAnsi="Arial"/>
          <w:b w:val="0"/>
          <w:i w:val="0"/>
          <w:sz w:val="22"/>
        </w:rPr>
        <w:t>Der Vorschlag von Kels: ein zweiseitiges Whitepaper, das die Kernthesen mit zwei oder drei Beispielen anreißt, vor dem Vorgespräch versendet. Christopher ergänzt: das Whitepaper läuft im selben Geist wie die zehn Sätze — Anschauung -&gt; Konsequenz -&gt; praktische Beispiele.</w:t>
      </w:r>
    </w:p>
    <w:p>
      <w:pPr>
        <w:spacing w:before="280" w:after="120"/>
      </w:pPr>
      <w:r>
        <w:rPr>
          <w:rFonts w:ascii="Arial" w:hAnsi="Arial"/>
          <w:b/>
          <w:i w:val="0"/>
          <w:sz w:val="26"/>
        </w:rPr>
        <w:t>LinkedIn — Library, keine Kampagne</w:t>
      </w:r>
    </w:p>
    <w:p>
      <w:pPr>
        <w:spacing w:after="160" w:line="324" w:lineRule="auto"/>
      </w:pPr>
      <w:r>
        <w:rPr>
          <w:rFonts w:ascii="Arial" w:hAnsi="Arial"/>
          <w:b w:val="0"/>
          <w:i w:val="0"/>
          <w:sz w:val="22"/>
        </w:rPr>
        <w:t>Statt einer pushenden Kampagne legen wir eine statische Library aus Single-Postings der drei Partner an, die persönlich auf die jeweilige Zielperson hin gepostet werden. Die Postings verlinken auf die Landingpage. Drei Stimmen sichtbar, eine Marke — wie schon im Markenkonzept verabredet.</w:t>
      </w:r>
    </w:p>
    <w:p>
      <w:pPr>
        <w:spacing w:before="360" w:after="160"/>
      </w:pPr>
      <w:r>
        <w:rPr>
          <w:rFonts w:ascii="Arial" w:hAnsi="Arial"/>
          <w:b/>
          <w:i w:val="0"/>
          <w:sz w:val="32"/>
        </w:rPr>
        <w:t>3.  Die Vereinbarung zur Verwendung der Kontakte</w:t>
      </w:r>
    </w:p>
    <w:p>
      <w:pPr>
        <w:spacing w:before="120" w:after="200"/>
        <w:ind w:left="454"/>
        <w:pBdr>
          <w:left w:val="single" w:sz="18" w:space="8" w:color="D4802A"/>
        </w:pBdr>
      </w:pPr>
      <w:r>
        <w:rPr>
          <w:rFonts w:ascii="Arial" w:hAnsi="Arial"/>
          <w:b w:val="0"/>
          <w:i/>
          <w:sz w:val="22"/>
        </w:rPr>
        <w:t>„Lösungsansatz: wir treffen miteinander eine, von mir aus auch gerne schriftliche — bei mir reicht auch der Handschlag, tatsächlich im Schweizer Sinne, also sehr verbindlich — Verabredung darüber, dass das nicht geschieht. Deine Kontakte dürfen nur durch dich oder auf Anforderung von dir mit Kels und mir gemeinsam angesprochen werden. Und umgekehrt." (Christopher, 01:05)</w:t>
      </w:r>
    </w:p>
    <w:p>
      <w:pPr>
        <w:spacing w:after="160" w:line="324" w:lineRule="auto"/>
      </w:pPr>
      <w:r>
        <w:rPr>
          <w:rFonts w:ascii="Arial" w:hAnsi="Arial"/>
          <w:b w:val="0"/>
          <w:i w:val="0"/>
          <w:sz w:val="22"/>
        </w:rPr>
        <w:t>Piet hat die Sorge sehr klar formuliert: „Die Angst ist halt, wenn wir jetzt loslaufen, da sind Kontakte und die meisten würde ich anrufen — wie bleiben wir 3 sozusagen auf der Thematik rechtlich so involviert, dass klar ist, das ist ein Ding von uns 3 und es landet nicht auf irgendeinem Server, der dann sozusagen alle Daten hat und dann weiter verarbeitet."“ (01:03). Er spricht offen vom „Verfolgungswahn“ seit seiner KPMG-Zeit. Konkret befürchtet er, dass Kontakte parallel ohne sein Wissen angeschrieben werden oder dass die Akquise sich „multiplikatormäßig ausfranst“ — also dass andere Berater einbezogen werden, die nicht zum Trio gehören.</w:t>
      </w:r>
    </w:p>
    <w:p>
      <w:pPr>
        <w:spacing w:before="280" w:after="120"/>
      </w:pPr>
      <w:r>
        <w:rPr>
          <w:rFonts w:ascii="Arial" w:hAnsi="Arial"/>
          <w:b/>
          <w:i w:val="0"/>
          <w:sz w:val="26"/>
        </w:rPr>
        <w:t>Worauf wir uns am Tisch geeinigt haben</w:t>
      </w:r>
    </w:p>
    <w:p>
      <w:pPr>
        <w:spacing w:after="100" w:line="324" w:lineRule="auto"/>
        <w:ind w:left="340" w:hanging="283"/>
      </w:pPr>
      <w:r>
        <w:rPr>
          <w:rFonts w:ascii="Arial" w:hAnsi="Arial"/>
          <w:b/>
          <w:i w:val="0"/>
          <w:sz w:val="22"/>
        </w:rPr>
        <w:t xml:space="preserve">• </w:t>
      </w:r>
      <w:r>
        <w:rPr>
          <w:rFonts w:ascii="Arial" w:hAnsi="Arial"/>
          <w:b/>
          <w:i w:val="0"/>
          <w:sz w:val="22"/>
        </w:rPr>
        <w:t xml:space="preserve">Kontakte sind exklusiv beim einbringenden Partner. </w:t>
      </w:r>
      <w:r>
        <w:rPr>
          <w:rFonts w:ascii="Arial" w:hAnsi="Arial"/>
          <w:b w:val="0"/>
          <w:i w:val="0"/>
          <w:sz w:val="22"/>
        </w:rPr>
        <w:t>Eine Ansprache eines von Piets Kontakten im HAL-Kontext geschieht nur durch Piet selbst oder auf seine ausdrückliche Anforderung. Gleiches gilt umgekehrt für Christophers und Kels’ Kontakte.</w:t>
      </w:r>
    </w:p>
    <w:p>
      <w:pPr>
        <w:spacing w:after="100" w:line="324" w:lineRule="auto"/>
        <w:ind w:left="340" w:hanging="283"/>
      </w:pPr>
      <w:r>
        <w:rPr>
          <w:rFonts w:ascii="Arial" w:hAnsi="Arial"/>
          <w:b/>
          <w:i w:val="0"/>
          <w:sz w:val="22"/>
        </w:rPr>
        <w:t xml:space="preserve">• </w:t>
      </w:r>
      <w:r>
        <w:rPr>
          <w:rFonts w:ascii="Arial" w:hAnsi="Arial"/>
          <w:b/>
          <w:i w:val="0"/>
          <w:sz w:val="22"/>
        </w:rPr>
        <w:t xml:space="preserve">Kein Ausfransen. </w:t>
      </w:r>
      <w:r>
        <w:rPr>
          <w:rFonts w:ascii="Arial" w:hAnsi="Arial"/>
          <w:b w:val="0"/>
          <w:i w:val="0"/>
          <w:sz w:val="22"/>
        </w:rPr>
        <w:t>Die Anspruchssysteme, die wir aus den Vorgesprächen mitnehmen, bleiben im Kreis der drei. Sie werden nicht an andere Berater oder Multiplikatoren weitergegeben, mit denen wir privat nahestehen, ohne ausdrückliche Zustimmung aller drei.</w:t>
      </w:r>
    </w:p>
    <w:p>
      <w:pPr>
        <w:spacing w:after="100" w:line="324" w:lineRule="auto"/>
        <w:ind w:left="340" w:hanging="283"/>
      </w:pPr>
      <w:r>
        <w:rPr>
          <w:rFonts w:ascii="Arial" w:hAnsi="Arial"/>
          <w:b/>
          <w:i w:val="0"/>
          <w:sz w:val="22"/>
        </w:rPr>
        <w:t xml:space="preserve">• </w:t>
      </w:r>
      <w:r>
        <w:rPr>
          <w:rFonts w:ascii="Arial" w:hAnsi="Arial"/>
          <w:b/>
          <w:i w:val="0"/>
          <w:sz w:val="22"/>
        </w:rPr>
        <w:t xml:space="preserve">LinkedIn-Disclaimer (Christopher). </w:t>
      </w:r>
      <w:r>
        <w:rPr>
          <w:rFonts w:ascii="Arial" w:hAnsi="Arial"/>
          <w:b w:val="0"/>
          <w:i w:val="0"/>
          <w:sz w:val="22"/>
        </w:rPr>
        <w:t>Wir können technisch nicht ausschließen, dass Menschen sich nach einem Erstgespräch über LinkedIn von selbst miteinander vernetzen. Was wir verabreden, ist die Haltung dazu (Kels): „Ich sage dir das, lauf einen Raum weiter und sag pass auf, der so und so hat mich angeschrieben, wie sollen wir damit umgehen."“ (01:07)</w:t>
      </w:r>
    </w:p>
    <w:p>
      <w:pPr>
        <w:spacing w:after="100" w:line="324" w:lineRule="auto"/>
        <w:ind w:left="340" w:hanging="283"/>
      </w:pPr>
      <w:r>
        <w:rPr>
          <w:rFonts w:ascii="Arial" w:hAnsi="Arial"/>
          <w:b/>
          <w:i w:val="0"/>
          <w:sz w:val="22"/>
        </w:rPr>
        <w:t xml:space="preserve">• </w:t>
      </w:r>
      <w:r>
        <w:rPr>
          <w:rFonts w:ascii="Arial" w:hAnsi="Arial"/>
          <w:b/>
          <w:i w:val="0"/>
          <w:sz w:val="22"/>
        </w:rPr>
        <w:t xml:space="preserve">Form. </w:t>
      </w:r>
      <w:r>
        <w:rPr>
          <w:rFonts w:ascii="Arial" w:hAnsi="Arial"/>
          <w:b w:val="0"/>
          <w:i w:val="0"/>
          <w:sz w:val="22"/>
        </w:rPr>
        <w:t>Christopher schlägt einen „Halbseiter“ vor: „Den können wir mit Bützel, Handschlag und Blut unterschreiben."“ (01:06). Diese Vereinbarung ist als separate Datei beigefügt (HAL_Vereinbarung_PartnerEntwurf_v1.docx) und enthält zusätzlich — auf Christophers Initiative — zwei weitere Klarstellungs-Punkte zur kaufmännischen Abwicklung (gannaca-Vorleistungen, Handling-Fee), die im Workshop selbst nicht thematisiert wurden, aber zur Sauberkeit der Aufstellung gehören.</w:t>
      </w:r>
    </w:p>
    <w:p>
      <w:pPr>
        <w:spacing w:before="360" w:after="160"/>
      </w:pPr>
      <w:r>
        <w:rPr>
          <w:rFonts w:ascii="Arial" w:hAnsi="Arial"/>
          <w:b/>
          <w:i w:val="0"/>
          <w:sz w:val="32"/>
        </w:rPr>
        <w:t>4.  Zeitplan und nächste Schritte</w:t>
      </w:r>
    </w:p>
    <w:p>
      <w:pPr>
        <w:spacing w:before="280" w:after="120"/>
      </w:pPr>
      <w:r>
        <w:rPr>
          <w:rFonts w:ascii="Arial" w:hAnsi="Arial"/>
          <w:b/>
          <w:i w:val="0"/>
          <w:sz w:val="26"/>
        </w:rPr>
        <w:t>Bis spätestens 30. Mai 2026</w:t>
      </w:r>
    </w:p>
    <w:p>
      <w:pPr>
        <w:spacing w:after="100" w:line="324" w:lineRule="auto"/>
        <w:ind w:left="340" w:hanging="283"/>
      </w:pPr>
      <w:r>
        <w:rPr>
          <w:rFonts w:ascii="Arial" w:hAnsi="Arial"/>
          <w:b/>
          <w:i w:val="0"/>
          <w:sz w:val="22"/>
        </w:rPr>
        <w:t xml:space="preserve">• </w:t>
      </w:r>
      <w:r>
        <w:rPr>
          <w:rFonts w:ascii="Arial" w:hAnsi="Arial"/>
          <w:b/>
          <w:i w:val="0"/>
          <w:sz w:val="22"/>
        </w:rPr>
        <w:t xml:space="preserve">Christopher </w:t>
      </w:r>
      <w:r>
        <w:rPr>
          <w:rFonts w:ascii="Arial" w:hAnsi="Arial"/>
          <w:b w:val="0"/>
          <w:i w:val="0"/>
          <w:sz w:val="22"/>
        </w:rPr>
        <w:t>liefert die zehn Sätze (Weltanschauung) und die Sales-Argumentation als Sprechzettel.</w:t>
      </w:r>
    </w:p>
    <w:p>
      <w:pPr>
        <w:spacing w:after="100" w:line="324" w:lineRule="auto"/>
        <w:ind w:left="340" w:hanging="283"/>
      </w:pPr>
      <w:r>
        <w:rPr>
          <w:rFonts w:ascii="Arial" w:hAnsi="Arial"/>
          <w:b/>
          <w:i w:val="0"/>
          <w:sz w:val="22"/>
        </w:rPr>
        <w:t xml:space="preserve">• </w:t>
      </w:r>
      <w:r>
        <w:rPr>
          <w:rFonts w:ascii="Arial" w:hAnsi="Arial"/>
          <w:b/>
          <w:i w:val="0"/>
          <w:sz w:val="22"/>
        </w:rPr>
        <w:t xml:space="preserve">Christopher und Kels </w:t>
      </w:r>
      <w:r>
        <w:rPr>
          <w:rFonts w:ascii="Arial" w:hAnsi="Arial"/>
          <w:b w:val="0"/>
          <w:i w:val="0"/>
          <w:sz w:val="22"/>
        </w:rPr>
        <w:t>arbeiten via OneDrive (zu dem Kels schon Zugang hat). Die Listen und Mini-Argumentationen pro Kontakt liegen dort.</w:t>
      </w:r>
    </w:p>
    <w:p>
      <w:pPr>
        <w:spacing w:after="100" w:line="324" w:lineRule="auto"/>
        <w:ind w:left="340" w:hanging="283"/>
      </w:pPr>
      <w:r>
        <w:rPr>
          <w:rFonts w:ascii="Arial" w:hAnsi="Arial"/>
          <w:b/>
          <w:i w:val="0"/>
          <w:sz w:val="22"/>
        </w:rPr>
        <w:t xml:space="preserve">• </w:t>
      </w:r>
      <w:r>
        <w:rPr>
          <w:rFonts w:ascii="Arial" w:hAnsi="Arial"/>
          <w:b/>
          <w:i w:val="0"/>
          <w:sz w:val="22"/>
        </w:rPr>
        <w:t xml:space="preserve">Christopher und Kels </w:t>
      </w:r>
      <w:r>
        <w:rPr>
          <w:rFonts w:ascii="Arial" w:hAnsi="Arial"/>
          <w:b w:val="0"/>
          <w:i w:val="0"/>
          <w:sz w:val="22"/>
        </w:rPr>
        <w:t>setzen exemplarisch zwei oder drei individualisierte Landingpages auf (z.B. /karnstedt, /krawinkel) und zeigen die Logik im Live-Demo-Modus.</w:t>
      </w:r>
    </w:p>
    <w:p>
      <w:pPr>
        <w:spacing w:after="100" w:line="324" w:lineRule="auto"/>
        <w:ind w:left="340" w:hanging="283"/>
      </w:pPr>
      <w:r>
        <w:rPr>
          <w:rFonts w:ascii="Arial" w:hAnsi="Arial"/>
          <w:b/>
          <w:i w:val="0"/>
          <w:sz w:val="22"/>
        </w:rPr>
        <w:t xml:space="preserve">• </w:t>
      </w:r>
      <w:r>
        <w:rPr>
          <w:rFonts w:ascii="Arial" w:hAnsi="Arial"/>
          <w:b/>
          <w:i w:val="0"/>
          <w:sz w:val="22"/>
        </w:rPr>
        <w:t xml:space="preserve">Kels </w:t>
      </w:r>
      <w:r>
        <w:rPr>
          <w:rFonts w:ascii="Arial" w:hAnsi="Arial"/>
          <w:b w:val="0"/>
          <w:i w:val="0"/>
          <w:sz w:val="22"/>
        </w:rPr>
        <w:t>baut die LinkedIn-Library auf und designt das Whitepaper (zwei Seiten, B1, Design-Assets aus der Website-Identität).</w:t>
      </w:r>
    </w:p>
    <w:p>
      <w:pPr>
        <w:spacing w:after="100" w:line="324" w:lineRule="auto"/>
        <w:ind w:left="340" w:hanging="283"/>
      </w:pPr>
      <w:r>
        <w:rPr>
          <w:rFonts w:ascii="Arial" w:hAnsi="Arial"/>
          <w:b/>
          <w:i w:val="0"/>
          <w:sz w:val="22"/>
        </w:rPr>
        <w:t xml:space="preserve">• </w:t>
      </w:r>
      <w:r>
        <w:rPr>
          <w:rFonts w:ascii="Arial" w:hAnsi="Arial"/>
          <w:b/>
          <w:i w:val="0"/>
          <w:sz w:val="22"/>
        </w:rPr>
        <w:t xml:space="preserve">Piet </w:t>
      </w:r>
      <w:r>
        <w:rPr>
          <w:rFonts w:ascii="Arial" w:hAnsi="Arial"/>
          <w:b w:val="0"/>
          <w:i w:val="0"/>
          <w:sz w:val="22"/>
        </w:rPr>
        <w:t>geht seine Liste durch, markiert pro Person, ob telefonisch oder schriftlich, und nutzt Christophers Mini-Argumentationen als Vorbereitung. Piet wird telefonieren, nicht über LinkedIn.</w:t>
      </w:r>
    </w:p>
    <w:p>
      <w:pPr>
        <w:spacing w:before="280" w:after="120"/>
      </w:pPr>
      <w:r>
        <w:rPr>
          <w:rFonts w:ascii="Arial" w:hAnsi="Arial"/>
          <w:b/>
          <w:i w:val="0"/>
          <w:sz w:val="26"/>
        </w:rPr>
        <w:t>Vor den NRW-Sommerferien (Mitte Juli 2026)</w:t>
      </w:r>
    </w:p>
    <w:p>
      <w:pPr>
        <w:spacing w:after="100" w:line="324" w:lineRule="auto"/>
        <w:ind w:left="340" w:hanging="283"/>
      </w:pPr>
      <w:r>
        <w:rPr>
          <w:rFonts w:ascii="Arial" w:hAnsi="Arial"/>
          <w:b/>
          <w:i w:val="0"/>
          <w:sz w:val="22"/>
        </w:rPr>
        <w:t xml:space="preserve">• </w:t>
      </w:r>
      <w:r>
        <w:rPr>
          <w:rFonts w:ascii="Arial" w:hAnsi="Arial"/>
          <w:b/>
          <w:i w:val="0"/>
          <w:sz w:val="22"/>
        </w:rPr>
        <w:t xml:space="preserve">Ein weiteres Arbeitstreffen </w:t>
      </w:r>
      <w:r>
        <w:rPr>
          <w:rFonts w:ascii="Arial" w:hAnsi="Arial"/>
          <w:b w:val="0"/>
          <w:i w:val="0"/>
          <w:sz w:val="22"/>
        </w:rPr>
        <w:t>(Kels schlägt zwei vor, Christopher eins — „wir können uns da sehr entspannt und schnell die Bälle zuspielen"“). Termin wird über OneDrive abgestimmt.</w:t>
      </w:r>
    </w:p>
    <w:p>
      <w:pPr>
        <w:spacing w:after="100" w:line="324" w:lineRule="auto"/>
        <w:ind w:left="340" w:hanging="283"/>
      </w:pPr>
      <w:r>
        <w:rPr>
          <w:rFonts w:ascii="Arial" w:hAnsi="Arial"/>
          <w:b/>
          <w:i w:val="0"/>
          <w:sz w:val="22"/>
        </w:rPr>
        <w:t xml:space="preserve">• </w:t>
      </w:r>
      <w:r>
        <w:rPr>
          <w:rFonts w:ascii="Arial" w:hAnsi="Arial"/>
          <w:b/>
          <w:i w:val="0"/>
          <w:sz w:val="22"/>
        </w:rPr>
        <w:t xml:space="preserve">Entscheidung </w:t>
      </w:r>
      <w:r>
        <w:rPr>
          <w:rFonts w:ascii="Arial" w:hAnsi="Arial"/>
          <w:b w:val="0"/>
          <w:i w:val="0"/>
          <w:sz w:val="22"/>
        </w:rPr>
        <w:t>Reichen die verbindlichen Zusagen, um den Pilot im Herbst 2026 zu produzieren? Christophers Faustregel aus dem Workshop: „Wenn von 10 Plätzen 8 voll sind, machen wir. Wenn es 7 sind, lassen wir es."“ (00:55)</w:t>
      </w:r>
    </w:p>
    <w:p>
      <w:pPr>
        <w:spacing w:after="100" w:line="324" w:lineRule="auto"/>
        <w:ind w:left="340" w:hanging="283"/>
      </w:pPr>
      <w:r>
        <w:rPr>
          <w:rFonts w:ascii="Arial" w:hAnsi="Arial"/>
          <w:b/>
          <w:i w:val="0"/>
          <w:sz w:val="22"/>
        </w:rPr>
        <w:t xml:space="preserve">• </w:t>
      </w:r>
      <w:r>
        <w:rPr>
          <w:rFonts w:ascii="Arial" w:hAnsi="Arial"/>
          <w:b/>
          <w:i w:val="0"/>
          <w:sz w:val="22"/>
        </w:rPr>
        <w:t xml:space="preserve">Vor dem Start </w:t>
      </w:r>
      <w:r>
        <w:rPr>
          <w:rFonts w:ascii="Arial" w:hAnsi="Arial"/>
          <w:b w:val="0"/>
          <w:i w:val="0"/>
          <w:sz w:val="22"/>
        </w:rPr>
        <w:t>Vereinbarung zur Verwendung der Kontakte („Halbseiter“) wird von allen dreien unterschrieben.</w:t>
      </w:r>
    </w:p>
    <w:p>
      <w:pPr>
        <w:spacing w:before="360" w:after="160"/>
      </w:pPr>
      <w:r>
        <w:rPr>
          <w:rFonts w:ascii="Arial" w:hAnsi="Arial"/>
          <w:b/>
          <w:i w:val="0"/>
          <w:sz w:val="32"/>
        </w:rPr>
        <w:t>5.  Was noch zu klären ist</w:t>
      </w:r>
    </w:p>
    <w:p>
      <w:pPr>
        <w:spacing w:after="100" w:line="324" w:lineRule="auto"/>
        <w:ind w:left="340" w:hanging="283"/>
      </w:pPr>
      <w:r>
        <w:rPr>
          <w:rFonts w:ascii="Arial" w:hAnsi="Arial"/>
          <w:b/>
          <w:i w:val="0"/>
          <w:sz w:val="22"/>
        </w:rPr>
        <w:t xml:space="preserve">• </w:t>
      </w:r>
      <w:r>
        <w:rPr>
          <w:rFonts w:ascii="Arial" w:hAnsi="Arial"/>
          <w:b/>
          <w:i w:val="0"/>
          <w:sz w:val="22"/>
        </w:rPr>
        <w:t xml:space="preserve">Datenablage </w:t>
      </w:r>
      <w:r>
        <w:rPr>
          <w:rFonts w:ascii="Arial" w:hAnsi="Arial"/>
          <w:b w:val="0"/>
          <w:i w:val="0"/>
          <w:sz w:val="22"/>
        </w:rPr>
        <w:t>Vorschlag aus dem Tag (Kels): Dropbox oder Google-Server, auf den alle drei zugreifen können. Piet braucht hier Sicherheit, dass „das Ding ein Ding von uns 3 ist und nicht auf irgendeinem Server landet, der dann alle Daten hat“. Wir haben für die nächste Phase die OneDrive-Ablage gewählt; bei sensiblen Inhalten gilt: rein in den geschützten Bereich, nicht in das öffentliche Cloud-Konto.</w:t>
      </w:r>
    </w:p>
    <w:p>
      <w:pPr>
        <w:spacing w:after="100" w:line="324" w:lineRule="auto"/>
        <w:ind w:left="340" w:hanging="283"/>
      </w:pPr>
      <w:r>
        <w:rPr>
          <w:rFonts w:ascii="Arial" w:hAnsi="Arial"/>
          <w:b/>
          <w:i w:val="0"/>
          <w:sz w:val="22"/>
        </w:rPr>
        <w:t xml:space="preserve">• </w:t>
      </w:r>
      <w:r>
        <w:rPr>
          <w:rFonts w:ascii="Arial" w:hAnsi="Arial"/>
          <w:b/>
          <w:i w:val="0"/>
          <w:sz w:val="22"/>
        </w:rPr>
        <w:t xml:space="preserve">Whitepaper-Design </w:t>
      </w:r>
      <w:r>
        <w:rPr>
          <w:rFonts w:ascii="Arial" w:hAnsi="Arial"/>
          <w:b w:val="0"/>
          <w:i w:val="0"/>
          <w:sz w:val="22"/>
        </w:rPr>
        <w:t>Kels prüft, ob die Design-Assets der Website (DM Sans, DM Serif Display, Orange-Akzent) auch im Whitepaper getragen werden können.</w:t>
      </w:r>
    </w:p>
    <w:p>
      <w:pPr>
        <w:spacing w:after="100" w:line="324" w:lineRule="auto"/>
        <w:ind w:left="340" w:hanging="283"/>
      </w:pPr>
      <w:r>
        <w:rPr>
          <w:rFonts w:ascii="Arial" w:hAnsi="Arial"/>
          <w:b/>
          <w:i w:val="0"/>
          <w:sz w:val="22"/>
        </w:rPr>
        <w:t xml:space="preserve">• </w:t>
      </w:r>
      <w:r>
        <w:rPr>
          <w:rFonts w:ascii="Arial" w:hAnsi="Arial"/>
          <w:b/>
          <w:i w:val="0"/>
          <w:sz w:val="22"/>
        </w:rPr>
        <w:t xml:space="preserve">Individuelle Landingpages — Bilder </w:t>
      </w:r>
      <w:r>
        <w:rPr>
          <w:rFonts w:ascii="Arial" w:hAnsi="Arial"/>
          <w:b w:val="0"/>
          <w:i w:val="0"/>
          <w:sz w:val="22"/>
        </w:rPr>
        <w:t>Kels: rechtlich heikel, wenn wir Bilder der angesprochenen Personen einbauen. Daher zunächst ohne Personenfotos, nur mit Unternehmens-Kontext und Argumentation.</w:t>
      </w:r>
    </w:p>
    <w:p>
      <w:pPr>
        <w:spacing w:after="100" w:line="324" w:lineRule="auto"/>
        <w:ind w:left="340" w:hanging="283"/>
      </w:pPr>
      <w:r>
        <w:rPr>
          <w:rFonts w:ascii="Arial" w:hAnsi="Arial"/>
          <w:b/>
          <w:i w:val="0"/>
          <w:sz w:val="22"/>
        </w:rPr>
        <w:t>• Format-Inkonsistenz Website Auf der aktuellen Website ist von „3 Tagen in Köln" die Rede. Im Konzept und in unserer Sprache reden wir von „2,5 Tagen in Köln". Christopher zieht den Tag-Wert in einem nächsten Website-Iterationsschritt nach.</w:t>
      </w:r>
      <w:r>
        <w:rPr>
          <w:rFonts w:ascii="Arial" w:hAnsi="Arial"/>
          <w:b/>
          <w:i w:val="0"/>
          <w:sz w:val="22"/>
        </w:rPr>
      </w:r>
      <w:r>
        <w:rPr>
          <w:rFonts w:ascii="Arial" w:hAnsi="Arial"/>
          <w:b w:val="0"/>
          <w:i w:val="0"/>
          <w:sz w:val="22"/>
        </w:rPr>
      </w:r>
    </w:p>
    <w:p>
      <w:pPr>
        <w:spacing w:before="80" w:after="200"/>
        <w:pBdr>
          <w:bottom w:val="single" w:sz="6" w:space="1" w:color="999999"/>
        </w:pBdr>
      </w:pPr>
    </w:p>
    <w:p>
      <w:pPr>
        <w:spacing w:after="160" w:line="324" w:lineRule="auto"/>
      </w:pPr>
      <w:r>
        <w:rPr>
          <w:rFonts w:ascii="Arial" w:hAnsi="Arial"/>
          <w:b w:val="0"/>
          <w:i/>
          <w:color w:val="666666"/>
          <w:sz w:val="20"/>
        </w:rPr>
        <w:t>Begleitend zu diesem Protokoll: „HAL — Vereinbarung zwischen Piet, Kels und Christopher“ (Entwurf v1) als separate Datei. Der Workshop hat die Kontakte-Klausel ausdrücklich gerahmt; die zwei weiteren Klauseln (gannaca-Vorleistungen, Handling-Fee) hat Christopher zur sauberen Aufstellung ergänzt, sie wandern parallel in die Abstimmungsrunde.</w:t>
      </w:r>
    </w:p>
    <w:p>
      <w:pPr>
        <w:spacing w:after="0" w:line="324" w:lineRule="auto"/>
      </w:pPr>
      <w:r>
        <w:rPr>
          <w:rFonts w:ascii="Arial" w:hAnsi="Arial"/>
          <w:b w:val="0"/>
          <w:i/>
          <w:color w:val="666666"/>
          <w:sz w:val="20"/>
        </w:rPr>
        <w:t>Verfasst von Christopher P. Peterka auf Basis der Audio-Mitschrift vom 05.05.2026. Köln, 12.05.2026.</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