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0" w:after="80"/>
      </w:pPr>
      <w:r>
        <w:rPr>
          <w:b/>
          <w:sz w:val="36"/>
        </w:rPr>
        <w:t>The Human Advantage Lab</w:t>
      </w:r>
    </w:p>
    <w:p>
      <w:pPr>
        <w:spacing w:before="40" w:after="80"/>
      </w:pPr>
      <w:r>
        <w:rPr>
          <w:b/>
          <w:sz w:val="26"/>
        </w:rPr>
        <w:t>Vereinbarung zwischen Piet, Kels und Christopher</w:t>
      </w:r>
    </w:p>
    <w:p>
      <w:pPr>
        <w:spacing w:before="40" w:after="200"/>
      </w:pPr>
      <w:r>
        <w:rPr>
          <w:i/>
          <w:sz w:val="22"/>
        </w:rPr>
        <w:t>Entwurf v2 — Stand 28.05.2026 — sprachliche Neufassung nach Piet-Call vom 28.05.; wirtschaftliche Substanz unverändert.</w:t>
      </w:r>
    </w:p>
    <w:p>
      <w:pPr>
        <w:spacing w:before="200" w:after="80"/>
      </w:pPr>
      <w:r>
        <w:rPr>
          <w:b/>
          <w:sz w:val="24"/>
        </w:rPr>
        <w:t>Wer wir sind</w:t>
      </w:r>
    </w:p>
    <w:p>
      <w:pPr>
        <w:spacing w:before="0" w:after="80"/>
      </w:pPr>
      <w:r>
        <w:rPr>
          <w:i w:val="0"/>
          <w:sz w:val="22"/>
        </w:rPr>
        <w:t>Pieter „Piet“ van der Veen — RoomToAct — im Folgenden: „Piet“</w:t>
      </w:r>
    </w:p>
    <w:p>
      <w:pPr>
        <w:spacing w:before="0" w:after="80"/>
      </w:pPr>
      <w:r>
        <w:rPr>
          <w:i w:val="0"/>
          <w:sz w:val="22"/>
        </w:rPr>
        <w:t>Dirk „Kels“ Kels — Kels Design — im Folgenden: „Kels“</w:t>
      </w:r>
    </w:p>
    <w:p>
      <w:pPr>
        <w:spacing w:before="0" w:after="200"/>
      </w:pPr>
      <w:r>
        <w:rPr>
          <w:i w:val="0"/>
          <w:sz w:val="22"/>
        </w:rPr>
        <w:t>Christopher P. Peterka — gannaca GmbH &amp; Co. KG, Köln — im Folgenden: „Christopher“ für die Person, „gannaca“ für die Gesellschaft</w:t>
      </w:r>
    </w:p>
    <w:p>
      <w:pPr>
        <w:spacing w:before="0" w:after="80"/>
      </w:pPr>
      <w:r>
        <w:rPr>
          <w:i w:val="0"/>
          <w:sz w:val="22"/>
        </w:rPr>
        <w:t>Wir drei bauen gemeinsam The Human Advantage Lab (HAL). HAL ist ein 2,5-tägiges Erfahrungsformat in Köln für Geschäftsführer, Unternehmer und Bereichsleiter in Transformation. Wir richten HAL auf 12 zahlende Teilnehmer pro Lab und einen Filter-Preis von 4.500 € pro Person aus. Den ersten Pilot wollen wir im dritten Quartal 2026 durchführen.</w:t>
      </w:r>
    </w:p>
    <w:p>
      <w:pPr>
        <w:spacing w:before="0" w:after="200"/>
      </w:pPr>
      <w:r>
        <w:rPr>
          <w:i w:val="0"/>
          <w:sz w:val="22"/>
        </w:rPr>
        <w:t>Wir wollen das, was wir miteinander tun, sauber regeln — aber so, dass es uns nicht im Weg steht. Diese Vereinbarung soll deshalb zwei Dinge gleichzeitig schaffen: sie soll im Zweifel vor einem Gericht tragen, und sie soll sich lesen, als hätten wir sie an einem Küchentisch geschrieben. Beides ist beabsichtigt.</w:t>
      </w:r>
    </w:p>
    <w:p>
      <w:pPr>
        <w:spacing w:before="200" w:after="80"/>
      </w:pPr>
      <w:r>
        <w:rPr>
          <w:b/>
          <w:sz w:val="26"/>
        </w:rPr>
        <w:t>Worüber wir uns einig sind</w:t>
      </w:r>
    </w:p>
    <w:p>
      <w:pPr>
        <w:spacing w:before="200" w:after="80"/>
      </w:pPr>
      <w:r>
        <w:rPr>
          <w:b/>
          <w:sz w:val="24"/>
        </w:rPr>
        <w:t>§1   Was wir miteinander tun</w:t>
      </w:r>
    </w:p>
    <w:p>
      <w:pPr>
        <w:spacing w:before="0" w:after="80"/>
      </w:pPr>
      <w:r>
        <w:rPr>
          <w:i w:val="0"/>
          <w:sz w:val="22"/>
        </w:rPr>
        <w:t>(1)  Wir entwickeln und betreiben HAL als gemeinschaftliches Format. Wir treten dabei als drei gleichberechtigte Partner auf — keiner ist Auftraggeber, keiner ist Auftragnehmer.</w:t>
      </w:r>
    </w:p>
    <w:p>
      <w:pPr>
        <w:spacing w:before="0" w:after="80"/>
      </w:pPr>
      <w:r>
        <w:rPr>
          <w:i w:val="0"/>
          <w:sz w:val="22"/>
        </w:rPr>
        <w:t>(2)  Jeder von uns bringt das ein, was er besonders gut kann: Piet bringt sein Netzwerk und seine Erfahrung im Begleiten von Führungskräften, Kels die Gestaltung des Erfahrungsraums und das Handwerk des Formats, Christopher die strategische Hand und die Infrastruktur (Recht, Rechnung, Website, KI-Werkzeuge, Akquise-Kommunikation).</w:t>
      </w:r>
    </w:p>
    <w:p>
      <w:pPr>
        <w:spacing w:before="0" w:after="80"/>
      </w:pPr>
      <w:r>
        <w:rPr>
          <w:i w:val="0"/>
          <w:sz w:val="22"/>
        </w:rPr>
        <w:t>(3)  Inhaltliche Entscheidungen treffen wir einvernehmlich. Wenn wir uns einmal nicht einig sind, gilt: bei Format und Ästhetik hat Kels den letzten Zugriff, bei Ansprache und Netzwerk hat Piet den letzten Zugriff, bei Recht/Abwicklung/Außenauftritt hat Christopher den letzten Zugriff. Diese Zuständigkeiten sind keine Hierarchie, sondern eine Arbeitsteilung.</w:t>
      </w:r>
    </w:p>
    <w:p>
      <w:pPr>
        <w:spacing w:before="200" w:after="80"/>
      </w:pPr>
      <w:r>
        <w:rPr>
          <w:b/>
          <w:sz w:val="24"/>
        </w:rPr>
        <w:t>§2   Piets Kontakte</w:t>
      </w:r>
    </w:p>
    <w:p>
      <w:pPr>
        <w:spacing w:before="0" w:after="80"/>
      </w:pPr>
      <w:r>
        <w:rPr>
          <w:i w:val="0"/>
          <w:sz w:val="22"/>
        </w:rPr>
        <w:t>(1)  Wir sind uns einig, dass die persönlichen Kontakte, die Piet im Lauf der Jahre aufgebaut hat — insbesondere zu Geschäftsführerinnen und Geschäftsführern, Unternehmerinnen und Unternehmern sowie Bereichsleitern in Transformation — ein Vermögenswert von RoomToAct sind und ausschließlich Piet zustehen.</w:t>
      </w:r>
    </w:p>
    <w:p>
      <w:pPr>
        <w:spacing w:before="0" w:after="80"/>
      </w:pPr>
      <w:r>
        <w:rPr>
          <w:i w:val="0"/>
          <w:sz w:val="22"/>
        </w:rPr>
        <w:t>(2)  HAL erhält von Piet keinen Verteiler, keine Kontaktliste, keine E-Mail-Adressen und keine pauschale Nutzungserlaubnis. Eine Ansprache von Piets Kontakten im Namen von HAL erfolgt nur dann, wenn Piet sie im Einzelfall ausdrücklich einlädt — er entscheidet pro Person, pro Anlass, in welcher Form und in welcher Reihenfolge.</w:t>
      </w:r>
    </w:p>
    <w:p>
      <w:pPr>
        <w:spacing w:before="0" w:after="80"/>
      </w:pPr>
      <w:r>
        <w:rPr>
          <w:i w:val="0"/>
          <w:sz w:val="22"/>
        </w:rPr>
        <w:t>(3)  Beziehungen, die sich aus einem HAL-Lab heraus weiter entwickeln (zum Beispiel: ein Teilnehmer beauftragt Piet anschließend mit einem eigenen Mandat), bleiben Piets Beziehungen und stehen HAL nicht zu — es sei denn, Piet bringt sie ausdrücklich in HAL ein.</w:t>
      </w:r>
    </w:p>
    <w:p>
      <w:pPr>
        <w:spacing w:before="0" w:after="80"/>
      </w:pPr>
      <w:r>
        <w:rPr>
          <w:i w:val="0"/>
          <w:sz w:val="22"/>
        </w:rPr>
        <w:t>(4)  Diese Regelung gilt während der Dauer unserer Zusammenarbeit und über deren Ende hinaus unbefristet weiter.</w:t>
      </w:r>
    </w:p>
    <w:p>
      <w:pPr>
        <w:spacing w:before="200" w:after="80"/>
      </w:pPr>
      <w:r>
        <w:rPr>
          <w:b/>
          <w:sz w:val="24"/>
        </w:rPr>
        <w:t>§3   Aufwandsentschädigung für gannacas Vorphase</w:t>
      </w:r>
    </w:p>
    <w:p>
      <w:pPr>
        <w:spacing w:before="0" w:after="80"/>
      </w:pPr>
      <w:r>
        <w:rPr>
          <w:i/>
          <w:sz w:val="22"/>
        </w:rPr>
        <w:t>(Neufassung v2 vom 28.05.2026 — ersetzt §3 v1 vollständig. Wirtschaftliche Substanz unverändert; Begriffe „Darlehen / Tilgung / Rückzahlung / Quote pro Nettoumsatz“ entfallen.)</w:t>
      </w:r>
    </w:p>
    <w:p>
      <w:pPr>
        <w:spacing w:before="0" w:after="80"/>
      </w:pPr>
      <w:r>
        <w:rPr>
          <w:i w:val="0"/>
          <w:sz w:val="22"/>
        </w:rPr>
        <w:t>(1)  gannaca hat HAL in der Vorphase aus eigener Kraft mit folgenden Leistungen ausgestattet: Domain und Hosting (thehumanadvantagelab.de), Gestaltung und mehrfache Weiterentwicklung der Website (Stand: netlify-deploy-v3), Einrichtung und Betrieb des MS365-Bookings-Vorgesprächs, Anlage des Stripe-Produkts „HAL Pilot Q3/2026“ inkl. Payment-Link-Konfiguration, die KI-gestützten Arbeitswerkzeuge für Konzeption und Akquise-Vorbereitung sowie die rechtliche und buchhalterische Trägerschaft der Vorarbeit. Eine konkrete Aufstellung mit Datum und Wertansatz liegt als Anlage 1 bei.</w:t>
      </w:r>
    </w:p>
    <w:p>
      <w:pPr>
        <w:spacing w:before="0" w:after="80"/>
      </w:pPr>
      <w:r>
        <w:rPr>
          <w:i w:val="0"/>
          <w:sz w:val="22"/>
        </w:rPr>
        <w:t>(2)  Wir verstehen diese Einbringung weder als Auftragsleistung noch als Darlehen, sondern als Aufwand, den gannaca für die Gemeinschaft getragen hat. Trägt HAL wirtschaftlich, gleicht die Gemeinschaft diesen Aufwand einmalig in Form einer Aufwandsentschädigung in Höhe des in Anlage 1 ausgewiesenen Gesamtbetrags an gannaca aus.</w:t>
      </w:r>
    </w:p>
    <w:p>
      <w:pPr>
        <w:spacing w:before="0" w:after="80"/>
      </w:pPr>
      <w:r>
        <w:rPr>
          <w:i w:val="0"/>
          <w:sz w:val="22"/>
        </w:rPr>
        <w:t>(3)  Der Ausgleich erfolgt erfolgsabhängig und aus dem verteilbaren Überschuss vor der Drittelung nach §5. Es gibt keine Quote pro Lab, keine Anbindung an einzelne Teilnehmer und keinen Zahlungsanspruch ohne Überschuss. Solange kein Überschuss entsteht, wird nichts gezahlt.</w:t>
      </w:r>
    </w:p>
    <w:p>
      <w:pPr>
        <w:spacing w:before="0" w:after="80"/>
      </w:pPr>
      <w:r>
        <w:rPr>
          <w:i w:val="0"/>
          <w:sz w:val="22"/>
        </w:rPr>
        <w:t>(4)  Eine persönliche Haftung von Piet oder Kels entsteht aus dieser Vereinbarung ausdrücklich nicht. Wird HAL beendet, ohne dass Überschüsse entstanden sind, verfällt der Anspruch ersatzlos — gannaca schreibt den Aufwand intern ab. Eine in §6 erwähnte Drei-Jahres-Frist dient ausschließlich der internen Abschreibungs-Disziplin von gannaca und löst keinerlei Verpflichtung gegenüber Piet oder Kels aus.</w:t>
      </w:r>
    </w:p>
    <w:p>
      <w:pPr>
        <w:spacing w:before="0" w:after="80"/>
      </w:pPr>
      <w:r>
        <w:rPr>
          <w:i w:val="0"/>
          <w:sz w:val="22"/>
        </w:rPr>
        <w:t>(5)  gannaca informiert die drei Partner einmal pro Quartal in einer kurzen, gemeinsamen Übersicht über den noch offenen Stand des Ausgleichs.</w:t>
      </w:r>
    </w:p>
    <w:p>
      <w:pPr>
        <w:spacing w:before="200" w:after="80"/>
      </w:pPr>
      <w:r>
        <w:rPr>
          <w:b/>
          <w:sz w:val="24"/>
        </w:rPr>
        <w:t>§4   Trägerschaft durch gannaca, Trägerschafts-Pauschale</w:t>
      </w:r>
    </w:p>
    <w:p>
      <w:pPr>
        <w:spacing w:before="0" w:after="80"/>
      </w:pPr>
      <w:r>
        <w:rPr>
          <w:i/>
          <w:sz w:val="22"/>
        </w:rPr>
        <w:t>(Neufassung v2 vom 28.05.2026 — ersetzt §4 v1 vollständig. Begriff „Handling-Fee“ und Prozent-Quote entfallen; fester Eurobetrag pro Lab, jedes Mal gemeinsam bestätigt.)</w:t>
      </w:r>
    </w:p>
    <w:p>
      <w:pPr>
        <w:spacing w:before="0" w:after="80"/>
      </w:pPr>
      <w:r>
        <w:rPr>
          <w:i w:val="0"/>
          <w:sz w:val="22"/>
        </w:rPr>
        <w:t>(1)  Solange HAL keine eigene Rechtsform hat, übernimmt die gannaca GmbH &amp; Co. KG die kaufmännische und rechtliche Trägerschaft (Vertragspartnerin der Teilnehmer, Rechnungen, Umsatzsteuer, Veranstalter-Haftpflicht, Buchhaltung, AGB-Pflege, rechtliche Vorprüfung von Marketing- und Vertragsmaterial, laufende administrative Begleitung). Diese Trägerschaft ist eine bewusste Übergangslösung. Wir bereiten die eigene Rechtsform (z. B. GbR, UG, GmbH) vor, sobald die Akquise des Pilots erfolgreich abgeschlossen ist und ein erstes Lab durchgeführt wurde.</w:t>
      </w:r>
    </w:p>
    <w:p>
      <w:pPr>
        <w:spacing w:before="0" w:after="80"/>
      </w:pPr>
      <w:r>
        <w:rPr>
          <w:i w:val="0"/>
          <w:sz w:val="22"/>
        </w:rPr>
        <w:t>(2)  Für die laufende Trägerschaftslast erhält gannaca pro durchgeführtem Lab eine Trägerschafts-Pauschale. Sie ist eine Aufwandsentschädigung im Sinne von §3 — keine Provision, keine umsatzabhängige Quote und keine Vergütung im Sinne einer Dienstleistung an die anderen beiden Partner.</w:t>
      </w:r>
    </w:p>
    <w:p>
      <w:pPr>
        <w:spacing w:before="0" w:after="80"/>
      </w:pPr>
      <w:r>
        <w:rPr>
          <w:i w:val="0"/>
          <w:sz w:val="22"/>
        </w:rPr>
        <w:t>(3)  Der Betrag der Pauschale wird vor jedem Lab gemeinsam festgelegt und richtet sich am realen Trägerschaftsaufwand aus. Als Ausgangsgröße für den Pilot vereinbaren wir 6.500 € pro Lab (das entspricht etwa der bisherigen 12-%-Größenordnung bei einem voll besetzten Lab, ist aber nicht mehr an Teilnehmerzahl oder Preis gekoppelt). Verändert sich der reale Aufwand erkennbar nach oben oder unten, passen wir den Betrag im Einvernehmen an.</w:t>
      </w:r>
    </w:p>
    <w:p>
      <w:pPr>
        <w:spacing w:before="0" w:after="80"/>
      </w:pPr>
      <w:r>
        <w:rPr>
          <w:i w:val="0"/>
          <w:sz w:val="22"/>
        </w:rPr>
        <w:t>(4)  Die Trägerschafts-Pauschale wird ebenfalls aus dem Lab-Überschuss vor der Drittelung nach §5 entnommen. Reicht der Überschuss eines Labs nicht aus, wird die Pauschale für dieses Lab im Einvernehmen reduziert oder entfällt; eine Nachforderung gegenüber Piet oder Kels findet nicht statt.</w:t>
      </w:r>
    </w:p>
    <w:p>
      <w:pPr>
        <w:spacing w:before="0" w:after="80"/>
      </w:pPr>
      <w:r>
        <w:rPr>
          <w:i w:val="0"/>
          <w:sz w:val="22"/>
        </w:rPr>
        <w:t>(5)  Die Trägerschafts-Pauschale deckt die kaufmännisch-rechtliche Trägerschaft im engeren Sinn. Sie deckt nicht: Reise- und Locationkosten, externe Dienstleister, Honorare an Dritte — diese werden separat als Veranstaltungskosten abgerechnet.</w:t>
      </w:r>
    </w:p>
    <w:p>
      <w:pPr>
        <w:spacing w:before="0" w:after="80"/>
      </w:pPr>
      <w:r>
        <w:rPr>
          <w:i w:val="0"/>
          <w:sz w:val="22"/>
        </w:rPr>
        <w:t>(6)  Mit dem Übergang von HAL in eine eigene Rechtsform endet die Trägerschafts-Pauschale automatisch.</w:t>
      </w:r>
    </w:p>
    <w:p>
      <w:pPr>
        <w:spacing w:before="200" w:after="80"/>
      </w:pPr>
      <w:r>
        <w:rPr>
          <w:b/>
          <w:sz w:val="24"/>
        </w:rPr>
        <w:t>§5   Wie wir die Erlöse aufteilen</w:t>
      </w:r>
    </w:p>
    <w:p>
      <w:pPr>
        <w:spacing w:before="0" w:after="80"/>
      </w:pPr>
      <w:r>
        <w:rPr>
          <w:i w:val="0"/>
          <w:sz w:val="22"/>
        </w:rPr>
        <w:t>(1)  Was nach Abzug der direkten Lab-Kosten, der Trägerschafts-Pauschale nach §4 und der Aufwandsentschädigung für die Vorphase nach §3 von einem Lab übrig bleibt (im Folgenden: „verteilbarer Überschuss“), wird zu gleichen Teilen unter Piet, Kels und Christopher aufgeteilt (je ein Drittel).</w:t>
      </w:r>
    </w:p>
    <w:p>
      <w:pPr>
        <w:spacing w:before="0" w:after="80"/>
      </w:pPr>
      <w:r>
        <w:rPr>
          <w:i w:val="0"/>
          <w:sz w:val="22"/>
        </w:rPr>
        <w:t>(2)  Auszahlung erfolgt innerhalb von 30 Tagen nach Abschluss eines Labs, sobald die Teilnehmergelder vollständig auf dem Konto der gannaca eingegangen sind.</w:t>
      </w:r>
    </w:p>
    <w:p>
      <w:pPr>
        <w:spacing w:before="0" w:after="80"/>
      </w:pPr>
      <w:r>
        <w:rPr>
          <w:i w:val="0"/>
          <w:sz w:val="22"/>
        </w:rPr>
        <w:t>(3)  Wir können in beiderseitigem Einvernehmen entscheiden, einen Teil des verteilbaren Überschusses einzubehalten — zum Beispiel als Rücklage für das nächste Lab, für gemeinsame Marketing-Investitionen oder als Puffer für den Aufbau eines eigenen Rechtskörpers. Solche Einbehalte beschließen wir vorher gemeinsam und schriftlich (E-Mail genügt).</w:t>
      </w:r>
    </w:p>
    <w:p>
      <w:pPr>
        <w:spacing w:before="200" w:after="80"/>
      </w:pPr>
      <w:r>
        <w:rPr>
          <w:b/>
          <w:sz w:val="24"/>
        </w:rPr>
        <w:t>§6   Wenn jemand von uns aussteigen möchte</w:t>
      </w:r>
    </w:p>
    <w:p>
      <w:pPr>
        <w:spacing w:before="0" w:after="80"/>
      </w:pPr>
      <w:r>
        <w:rPr>
          <w:i/>
          <w:sz w:val="22"/>
        </w:rPr>
        <w:t>(Abs. 3+4 neu gefasst v2 vom 28.05.2026 — klargestellt, dass aus dem Ausscheiden keine persönliche Zahlungspflicht entsteht und die in §3 erwähnte Drei-Jahres-Frist eine reine gannaca-Innenfrist ist.)</w:t>
      </w:r>
    </w:p>
    <w:p>
      <w:pPr>
        <w:spacing w:before="0" w:after="80"/>
      </w:pPr>
      <w:r>
        <w:rPr>
          <w:i w:val="0"/>
          <w:sz w:val="22"/>
        </w:rPr>
        <w:t>(1)  Jeder von uns kann diese Zusammenarbeit jederzeit mit einer Frist von drei Monaten zum Quartalsende beenden. Wir bitten denjenigen, der gehen möchte, das frühzeitig und persönlich anzukündigen — nicht per Anwaltsschreiben, sondern im Gespräch.</w:t>
      </w:r>
    </w:p>
    <w:p>
      <w:pPr>
        <w:spacing w:before="0" w:after="80"/>
      </w:pPr>
      <w:r>
        <w:rPr>
          <w:i w:val="0"/>
          <w:sz w:val="22"/>
        </w:rPr>
        <w:t>(2)  Bereits gebuchte oder zugesagte Labs werden auf jeden Fall noch gemeinsam zu Ende geführt. Der Ausscheidende erhält für diese Labs seinen Anteil am verteilbaren Überschuss wie in §5 geregelt.</w:t>
      </w:r>
    </w:p>
    <w:p>
      <w:pPr>
        <w:spacing w:before="0" w:after="80"/>
      </w:pPr>
      <w:r>
        <w:rPr>
          <w:i w:val="0"/>
          <w:sz w:val="22"/>
        </w:rPr>
        <w:t>(3)  Mit dem Ausscheiden enden die laufenden Mitwirkungspflichten des Ausscheidenden. Bestehen bleiben ausdrücklich nur: der Schutz von Piets Kontakten aus §2 (zeitlich unbefristet) und der noch offene Aufwandsausgleich an gannaca aus §3 — letzterer aber nur insoweit, als HAL nach dem Ausscheiden tatsächlich weiterläuft und Überschüsse erzielt werden, aus denen er sich speist. Eine persönliche Zahlungspflicht des Ausscheidenden entsteht nicht.</w:t>
      </w:r>
    </w:p>
    <w:p>
      <w:pPr>
        <w:spacing w:before="0" w:after="80"/>
      </w:pPr>
      <w:r>
        <w:rPr>
          <w:i w:val="0"/>
          <w:sz w:val="22"/>
        </w:rPr>
        <w:t>(4)  Wird HAL gleichzeitig mit dem Ausscheiden oder anschließend ohne weitere Umsätze beendet, verfällt der dann noch offene Aufwandsausgleich ersatzlos — gannaca schreibt den Rest intern ab. Die in §3 Abs. 4 genannte Drei-Jahres-Frist ist eine reine Innenfrist für gannaca; sie löst gegenüber Piet oder Kels keinerlei Verpflichtung aus. Die verbleibenden Partner entscheiden gemeinsam, ob HAL fortgeführt, ruhend gestellt oder eingestellt wird.</w:t>
      </w:r>
    </w:p>
    <w:p>
      <w:pPr>
        <w:spacing w:before="200" w:after="80"/>
      </w:pPr>
      <w:r>
        <w:rPr>
          <w:b/>
          <w:sz w:val="24"/>
        </w:rPr>
        <w:t>§7   Wenn wir uns nicht einig sind</w:t>
      </w:r>
    </w:p>
    <w:p>
      <w:pPr>
        <w:spacing w:before="0" w:after="80"/>
      </w:pPr>
      <w:r>
        <w:rPr>
          <w:i w:val="0"/>
          <w:sz w:val="22"/>
        </w:rPr>
        <w:t>(1)  Bevor einer von uns wegen einer Meinungsverschiedenheit Dritte einschaltet, treffen wir uns zu einem Gespräch unter vier (bzw. sechs) Augen. Der Kaffee geht auf den, der das Thema aufgemacht hat.</w:t>
      </w:r>
    </w:p>
    <w:p>
      <w:pPr>
        <w:spacing w:before="0" w:after="80"/>
      </w:pPr>
      <w:r>
        <w:rPr>
          <w:i w:val="0"/>
          <w:sz w:val="22"/>
        </w:rPr>
        <w:t>(2)  Wenn wir im Gespräch nicht zu einer Lösung kommen, ziehen wir vor einem Gerichtsverfahren zunächst eine Mediatorin oder einen Mediator unserer gemeinsamen Wahl hinzu. Die Kosten der Mediation tragen wir zu gleichen Teilen.</w:t>
      </w:r>
    </w:p>
    <w:p>
      <w:pPr>
        <w:spacing w:before="0" w:after="80"/>
      </w:pPr>
      <w:r>
        <w:rPr>
          <w:i w:val="0"/>
          <w:sz w:val="22"/>
        </w:rPr>
        <w:t>(3)  Erst wenn auch die Mediation scheitert, steht es jedem von uns frei, den Rechtsweg zu beschreiten.</w:t>
      </w:r>
    </w:p>
    <w:p>
      <w:pPr>
        <w:spacing w:before="200" w:after="80"/>
      </w:pPr>
      <w:r>
        <w:rPr>
          <w:b/>
          <w:sz w:val="24"/>
        </w:rPr>
        <w:t>§8   Was rechtlich noch zu sagen ist</w:t>
      </w:r>
    </w:p>
    <w:p>
      <w:pPr>
        <w:spacing w:before="0" w:after="80"/>
      </w:pPr>
      <w:r>
        <w:rPr>
          <w:i w:val="0"/>
          <w:sz w:val="22"/>
        </w:rPr>
        <w:t>(1)  Diese Vereinbarung gilt ab dem Tag ihrer Unterzeichnung durch alle drei Partner und ist unbefristet.</w:t>
      </w:r>
    </w:p>
    <w:p>
      <w:pPr>
        <w:spacing w:before="0" w:after="80"/>
      </w:pPr>
      <w:r>
        <w:rPr>
          <w:i w:val="0"/>
          <w:sz w:val="22"/>
        </w:rPr>
        <w:t>(2)  Änderungen und Ergänzungen bedürfen der Textform (E-Mail an alle drei genügt) und der ausdrücklichen Zustimmung aller drei Partner.</w:t>
      </w:r>
    </w:p>
    <w:p>
      <w:pPr>
        <w:spacing w:before="0" w:after="80"/>
      </w:pPr>
      <w:r>
        <w:rPr>
          <w:i w:val="0"/>
          <w:sz w:val="22"/>
        </w:rPr>
        <w:t>(3)  Sollte eine einzelne Bestimmung dieser Vereinbarung unwirksam sein, bleibt der Rest wirksam. An die Stelle der unwirksamen Bestimmung tritt die Regelung, die dem wirtschaftlich Gewollten am nächsten kommt.</w:t>
      </w:r>
    </w:p>
    <w:p>
      <w:pPr>
        <w:spacing w:before="0" w:after="80"/>
      </w:pPr>
      <w:r>
        <w:rPr>
          <w:i w:val="0"/>
          <w:sz w:val="22"/>
        </w:rPr>
        <w:t>(4)  Es gilt deutsches Recht. Gerichtsstand ist, soweit gesetzlich zulässig, Köln.</w:t>
      </w:r>
    </w:p>
    <w:p>
      <w:pPr>
        <w:spacing w:before="0" w:after="80"/>
      </w:pPr>
      <w:r>
        <w:rPr>
          <w:i w:val="0"/>
          <w:sz w:val="22"/>
        </w:rPr>
        <w:t>(5)  Diese Vereinbarung wird in drei gleichlautenden Ausfertigungen erstellt; jeder Partner erhält eine.</w:t>
      </w:r>
    </w:p>
    <w:p>
      <w:pPr>
        <w:spacing w:before="280" w:after="80"/>
      </w:pPr>
      <w:r>
        <w:rPr>
          <w:b/>
          <w:sz w:val="24"/>
        </w:rPr>
        <w:t>Anlage 1 (separat) — Aufstellung der gannaca-Vorleistungen</w:t>
      </w:r>
    </w:p>
    <w:p>
      <w:pPr>
        <w:spacing w:before="0" w:after="80"/>
      </w:pPr>
      <w:r>
        <w:rPr>
          <w:i w:val="0"/>
          <w:sz w:val="22"/>
        </w:rPr>
        <w:t>Wird als gesonderte Liste mit Datum, Position und Wertansatz beigefügt und mit Unterzeichnung dieser Vereinbarung Bestandteil derselben. Die Summe aus Anlage 1 ist der konkrete Eurobetrag der Aufwandsentschädigung nach §3.</w:t>
      </w:r>
    </w:p>
    <w:p>
      <w:pPr>
        <w:spacing w:before="280" w:after="80"/>
      </w:pPr>
      <w:r>
        <w:rPr>
          <w:b/>
          <w:sz w:val="24"/>
        </w:rPr>
        <w:t>Unterschriften</w:t>
      </w:r>
    </w:p>
    <w:p>
      <w:pPr>
        <w:spacing w:before="0" w:after="200"/>
      </w:pPr>
      <w:r>
        <w:rPr>
          <w:i w:val="0"/>
          <w:sz w:val="22"/>
        </w:rPr>
        <w:t>Ort, Datum   Köln, den ____________________</w:t>
      </w:r>
    </w:p>
    <w:p>
      <w:pPr>
        <w:spacing w:before="0" w:after="80"/>
      </w:pPr>
      <w:r>
        <w:rPr>
          <w:i w:val="0"/>
          <w:sz w:val="22"/>
        </w:rPr>
        <w:t>__________________________________________</w:t>
      </w:r>
    </w:p>
    <w:p>
      <w:pPr>
        <w:spacing w:before="0" w:after="200"/>
      </w:pPr>
      <w:r>
        <w:rPr>
          <w:i w:val="0"/>
          <w:sz w:val="22"/>
        </w:rPr>
        <w:t>Pieter „Piet“ van der Veen — RoomToAct</w:t>
      </w:r>
    </w:p>
    <w:p>
      <w:pPr>
        <w:spacing w:before="0" w:after="80"/>
      </w:pPr>
      <w:r>
        <w:rPr>
          <w:i w:val="0"/>
          <w:sz w:val="22"/>
        </w:rPr>
        <w:t>__________________________________________</w:t>
      </w:r>
    </w:p>
    <w:p>
      <w:pPr>
        <w:spacing w:before="0" w:after="200"/>
      </w:pPr>
      <w:r>
        <w:rPr>
          <w:i w:val="0"/>
          <w:sz w:val="22"/>
        </w:rPr>
        <w:t>Dirk „Kels“ Kels — Kels Design</w:t>
      </w:r>
    </w:p>
    <w:p>
      <w:pPr>
        <w:spacing w:before="0" w:after="80"/>
      </w:pPr>
      <w:r>
        <w:rPr>
          <w:i w:val="0"/>
          <w:sz w:val="22"/>
        </w:rPr>
        <w:t>__________________________________________</w:t>
      </w:r>
    </w:p>
    <w:p>
      <w:pPr>
        <w:spacing w:before="0" w:after="200"/>
      </w:pPr>
      <w:r>
        <w:rPr>
          <w:i w:val="0"/>
          <w:sz w:val="22"/>
        </w:rPr>
        <w:t>Christopher P. Peterka — gannaca GmbH &amp; Co. KG (für sich und für die Gesellschaft)</w:t>
      </w:r>
    </w:p>
    <w:p>
      <w:pPr>
        <w:spacing w:before="280" w:after="80"/>
      </w:pPr>
      <w:r>
        <w:rPr>
          <w:i/>
          <w:sz w:val="22"/>
        </w:rPr>
        <w:t>Entwurf v2 — sprachliche Neufassung nach Piet-Call vom 28.05.2026. Verbindlichkeit entsteht erst mit Unterzeichnung durch alle drei Partner.</w:t>
      </w:r>
    </w:p>
    <w:sectPr w:rsidR="00FC693F" w:rsidRPr="0006063C" w:rsidSect="00034616">
      <w:pgSz w:w="12240" w:h="15840"/>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