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line="336" w:lineRule="auto"/>
      </w:pPr>
      <w:r>
        <w:rPr>
          <w:rFonts w:ascii="Arial" w:hAnsi="Arial"/>
          <w:b/>
          <w:i w:val="0"/>
          <w:color w:val="666666"/>
          <w:sz w:val="20"/>
        </w:rPr>
        <w:t>The Human Advantage Lab</w:t>
      </w:r>
    </w:p>
    <w:p>
      <w:pPr>
        <w:spacing w:after="80" w:line="336" w:lineRule="auto"/>
      </w:pPr>
      <w:r>
        <w:rPr>
          <w:rFonts w:ascii="Arial" w:hAnsi="Arial"/>
          <w:b/>
          <w:i w:val="0"/>
          <w:sz w:val="40"/>
        </w:rPr>
        <w:t>Die zehn Sätze. Unsere Welt, kurz gefasst.</w:t>
      </w:r>
    </w:p>
    <w:p>
      <w:pPr>
        <w:spacing w:after="400" w:line="336" w:lineRule="auto"/>
      </w:pPr>
      <w:r>
        <w:rPr>
          <w:rFonts w:ascii="Arial" w:hAnsi="Arial"/>
          <w:b w:val="0"/>
          <w:i/>
          <w:color w:val="666666"/>
          <w:sz w:val="20"/>
        </w:rPr>
        <w:t>Gemeinsame Erklärung von Piet, Kels und Christopher · Entwurf v1 · 12.05.2026</w:t>
      </w:r>
    </w:p>
    <w:p>
      <w:pPr>
        <w:spacing w:before="80" w:after="200"/>
        <w:pBdr>
          <w:bottom w:val="single" w:sz="6" w:space="1" w:color="999999"/>
        </w:pBdr>
      </w:pPr>
    </w:p>
    <w:p>
      <w:pPr>
        <w:spacing w:after="360" w:line="336" w:lineRule="auto"/>
      </w:pPr>
      <w:r>
        <w:rPr>
          <w:rFonts w:ascii="Arial" w:hAnsi="Arial"/>
          <w:b w:val="0"/>
          <w:i/>
          <w:sz w:val="22"/>
        </w:rPr>
        <w:t>Was folgt, ist kein fauler Kompromiss, sondern unsere geteilte Lesart der Lage. Wer diese zehn Sätze nicht mitgehen kann, ist nicht unser Gegenüber für HAL. Wer sie mitgeht, hat ein Recht darauf, von uns zu hören, was daraus folgt — der zweite Zettel.</w:t>
      </w:r>
    </w:p>
    <w:p>
      <w:pPr>
        <w:spacing w:before="360" w:after="160"/>
      </w:pPr>
      <w:r>
        <w:rPr>
          <w:rFonts w:ascii="Arial" w:hAnsi="Arial"/>
          <w:b/>
          <w:i w:val="0"/>
          <w:sz w:val="32"/>
        </w:rPr>
        <w:t>Die zehn Sätze</w:t>
      </w:r>
    </w:p>
    <w:p>
      <w:pPr>
        <w:spacing w:after="240" w:line="348" w:lineRule="auto"/>
      </w:pPr>
      <w:r>
        <w:rPr>
          <w:rFonts w:ascii="Arial" w:hAnsi="Arial"/>
          <w:b/>
          <w:i w:val="0"/>
          <w:color w:val="D4802A"/>
          <w:sz w:val="24"/>
        </w:rPr>
        <w:t xml:space="preserve">1.  </w:t>
      </w:r>
      <w:r>
        <w:rPr>
          <w:rFonts w:ascii="Arial" w:hAnsi="Arial"/>
          <w:b/>
          <w:i w:val="0"/>
          <w:sz w:val="24"/>
        </w:rPr>
        <w:t xml:space="preserve">Wir sind 1995. </w:t>
      </w:r>
      <w:r>
        <w:rPr>
          <w:rFonts w:ascii="Arial" w:hAnsi="Arial"/>
          <w:b w:val="0"/>
          <w:i w:val="0"/>
          <w:sz w:val="24"/>
        </w:rPr>
        <w:t>Wer damals im Aufsichtsrat saß und hörte, dass dreißig Jahre später sieben Tech-Konzerne den gesamten Wertzuwachs des S&amp;P 500 stellen würden, hat das nicht geglaubt. Wir sitzen jetzt in der gleichen Sitzung. Nur mit einer Entwicklung, die hundertmal mächtiger ist als die letzte.</w:t>
      </w:r>
    </w:p>
    <w:p>
      <w:pPr>
        <w:spacing w:after="240" w:line="348" w:lineRule="auto"/>
      </w:pPr>
      <w:r>
        <w:rPr>
          <w:rFonts w:ascii="Arial" w:hAnsi="Arial"/>
          <w:b/>
          <w:i w:val="0"/>
          <w:color w:val="D4802A"/>
          <w:sz w:val="24"/>
        </w:rPr>
        <w:t xml:space="preserve">2.  </w:t>
      </w:r>
      <w:r>
        <w:rPr>
          <w:rFonts w:ascii="Arial" w:hAnsi="Arial"/>
          <w:b/>
          <w:i w:val="0"/>
          <w:sz w:val="24"/>
        </w:rPr>
        <w:t xml:space="preserve">KI ist keine Technologie. KI ist ein Wertschöpfungs-Betriebssystem. </w:t>
      </w:r>
      <w:r>
        <w:rPr>
          <w:rFonts w:ascii="Arial" w:hAnsi="Arial"/>
          <w:b w:val="0"/>
          <w:i w:val="0"/>
          <w:sz w:val="24"/>
        </w:rPr>
        <w:t>Wir wechseln gerade die Schicht, auf der Unternehmen Wertschöpfung organisieren — von arbeitsteiliger Spezialisten-Organisation auf technischer Infrastruktur zu einer Wertschöpfung, die KI als Trägermedium voraussetzt. Wer das alte Betriebssystem weiterfährt, wird ein Fall für die Treuhand.</w:t>
      </w:r>
    </w:p>
    <w:p>
      <w:pPr>
        <w:spacing w:after="240" w:line="348" w:lineRule="auto"/>
      </w:pPr>
      <w:r>
        <w:rPr>
          <w:rFonts w:ascii="Arial" w:hAnsi="Arial"/>
          <w:b/>
          <w:i w:val="0"/>
          <w:color w:val="D4802A"/>
          <w:sz w:val="24"/>
        </w:rPr>
        <w:t xml:space="preserve">3.  </w:t>
      </w:r>
      <w:r>
        <w:rPr>
          <w:rFonts w:ascii="Arial" w:hAnsi="Arial"/>
          <w:b/>
          <w:i w:val="0"/>
          <w:sz w:val="24"/>
        </w:rPr>
        <w:t xml:space="preserve">Jeder Job, der hinter einem Bildschirm stattfindet, wird in den nächsten fünf Jahren in seiner heutigen Form nicht mehr existieren. </w:t>
      </w:r>
      <w:r>
        <w:rPr>
          <w:rFonts w:ascii="Arial" w:hAnsi="Arial"/>
          <w:b w:val="0"/>
          <w:i w:val="0"/>
          <w:sz w:val="24"/>
        </w:rPr>
        <w:t>Das gilt nicht für die Ungelernten zuerst, sondern für die Hochqualifizierten. Je kodifizierter das Wissen, desto leichter ersetzbar. 750 € pro Stunde für eine Anwältin sind eine Frage des Übergangs — danach sind es 100 Anwälte im Monat, 24/7.</w:t>
      </w:r>
    </w:p>
    <w:p>
      <w:pPr>
        <w:spacing w:after="240" w:line="348" w:lineRule="auto"/>
      </w:pPr>
      <w:r>
        <w:rPr>
          <w:rFonts w:ascii="Arial" w:hAnsi="Arial"/>
          <w:b/>
          <w:i w:val="0"/>
          <w:color w:val="D4802A"/>
          <w:sz w:val="24"/>
        </w:rPr>
        <w:t xml:space="preserve">4.  </w:t>
      </w:r>
      <w:r>
        <w:rPr>
          <w:rFonts w:ascii="Arial" w:hAnsi="Arial"/>
          <w:b/>
          <w:i w:val="0"/>
          <w:sz w:val="24"/>
        </w:rPr>
        <w:t xml:space="preserve">Was bleibt, ist Führung — verstanden als Intention, Deutung und Verantwortung. </w:t>
      </w:r>
      <w:r>
        <w:rPr>
          <w:rFonts w:ascii="Arial" w:hAnsi="Arial"/>
          <w:b w:val="0"/>
          <w:i w:val="0"/>
          <w:sz w:val="24"/>
        </w:rPr>
        <w:t>Alles, was nur Ausübung einer Funktion ist, wird übernommen. Alles, was Bedeutung verleiht, bleibt menschlich. Die Frage für jede Geschäftsführerin lautet deshalb nicht mehr: Welche Tools setzen wir ein? — sondern: Wofür stehen wir, wenn die Tools selbstverständlich sind?</w:t>
      </w:r>
    </w:p>
    <w:p>
      <w:pPr>
        <w:spacing w:after="240" w:line="348" w:lineRule="auto"/>
      </w:pPr>
      <w:r>
        <w:rPr>
          <w:rFonts w:ascii="Arial" w:hAnsi="Arial"/>
          <w:b/>
          <w:i w:val="0"/>
          <w:color w:val="D4802A"/>
          <w:sz w:val="24"/>
        </w:rPr>
        <w:t xml:space="preserve">5.  </w:t>
      </w:r>
      <w:r>
        <w:rPr>
          <w:rFonts w:ascii="Arial" w:hAnsi="Arial"/>
          <w:b/>
          <w:i w:val="0"/>
          <w:sz w:val="24"/>
        </w:rPr>
        <w:t xml:space="preserve">Schatten-IT ist kein Sicherheitsproblem. Sie ist eine Selbstverständlichkeits-Bewegung der besten Mitarbeiter. </w:t>
      </w:r>
      <w:r>
        <w:rPr>
          <w:rFonts w:ascii="Arial" w:hAnsi="Arial"/>
          <w:b w:val="0"/>
          <w:i w:val="0"/>
          <w:sz w:val="24"/>
        </w:rPr>
        <w:t>Wer ChatGPT auf dem privaten Gerät benutzt, kündigt nicht — er stimmt mit den Füßen ab. Er nimmt sich die Intelligenz, die ihm das Unternehmen nicht zur Verfügung stellt. Wer ihn dafür bestraft, verliert ihn. Wer ihm nichts Eigenes anbietet, verliert ihn auch.</w:t>
      </w:r>
    </w:p>
    <w:p>
      <w:pPr>
        <w:spacing w:after="240" w:line="348" w:lineRule="auto"/>
      </w:pPr>
      <w:r>
        <w:rPr>
          <w:rFonts w:ascii="Arial" w:hAnsi="Arial"/>
          <w:b/>
          <w:i w:val="0"/>
          <w:color w:val="D4802A"/>
          <w:sz w:val="24"/>
        </w:rPr>
        <w:t xml:space="preserve">6.  </w:t>
      </w:r>
      <w:r>
        <w:rPr>
          <w:rFonts w:ascii="Arial" w:hAnsi="Arial"/>
          <w:b/>
          <w:i w:val="0"/>
          <w:sz w:val="24"/>
        </w:rPr>
        <w:t xml:space="preserve">Microsoft-Copilot ist nicht die Antwort. Microsoft-Copilot ist die Frage. </w:t>
      </w:r>
      <w:r>
        <w:rPr>
          <w:rFonts w:ascii="Arial" w:hAnsi="Arial"/>
          <w:b w:val="0"/>
          <w:i w:val="0"/>
          <w:sz w:val="24"/>
        </w:rPr>
        <w:t>Wer KI ausschließlich über Hyperscaler-Lizenzen bezieht, kauft sich die Abhängigkeit, die die Bank nicht haben dürfte. Das Bankability-Beispiel des Den-Haager Richters — Mastercard sperrt, Cloud-Anbieter folgen, der Mensch ist über Nacht handlungsunfähig — gilt für Unternehmen genauso. Bei Geld gibt es noch Bargeld als Rückfallposition. Bei Intelligenz gibt es keine.</w:t>
      </w:r>
    </w:p>
    <w:p>
      <w:pPr>
        <w:spacing w:after="240" w:line="348" w:lineRule="auto"/>
      </w:pPr>
      <w:r>
        <w:rPr>
          <w:rFonts w:ascii="Arial" w:hAnsi="Arial"/>
          <w:b/>
          <w:i w:val="0"/>
          <w:color w:val="D4802A"/>
          <w:sz w:val="24"/>
        </w:rPr>
        <w:t xml:space="preserve">7.  </w:t>
      </w:r>
      <w:r>
        <w:rPr>
          <w:rFonts w:ascii="Arial" w:hAnsi="Arial"/>
          <w:b/>
          <w:i w:val="0"/>
          <w:sz w:val="24"/>
        </w:rPr>
        <w:t xml:space="preserve">Souveränität entsteht durch eigene parallele KI-Infrastruktur, nicht durch mehr Lizenzen. </w:t>
      </w:r>
      <w:r>
        <w:rPr>
          <w:rFonts w:ascii="Arial" w:hAnsi="Arial"/>
          <w:b w:val="0"/>
          <w:i w:val="0"/>
          <w:sz w:val="24"/>
        </w:rPr>
        <w:t>Eine RoomToAct-KI, eine Kels-Design-&amp;-Partner-KI, eine gannaca-KI: jedes Unternehmen, das ernst genommen werden will, baut sich eine eigene Inferenz-Ebene, lokal oder bei einem nicht-US-Anbieter. Das ist teuer, kompliziert und nervig. Es ist auch alternativlos.</w:t>
      </w:r>
    </w:p>
    <w:p>
      <w:pPr>
        <w:spacing w:after="240" w:line="348" w:lineRule="auto"/>
      </w:pPr>
      <w:r>
        <w:rPr>
          <w:rFonts w:ascii="Arial" w:hAnsi="Arial"/>
          <w:b/>
          <w:i w:val="0"/>
          <w:color w:val="D4802A"/>
          <w:sz w:val="24"/>
        </w:rPr>
        <w:t xml:space="preserve">8.  </w:t>
      </w:r>
      <w:r>
        <w:rPr>
          <w:rFonts w:ascii="Arial" w:hAnsi="Arial"/>
          <w:b/>
          <w:i w:val="0"/>
          <w:sz w:val="24"/>
        </w:rPr>
        <w:t xml:space="preserve">Das ist kein Technologie-Problem. Es ist ein Reife-Problem. </w:t>
      </w:r>
      <w:r>
        <w:rPr>
          <w:rFonts w:ascii="Arial" w:hAnsi="Arial"/>
          <w:b w:val="0"/>
          <w:i w:val="0"/>
          <w:sz w:val="24"/>
        </w:rPr>
        <w:t>KI verstärkt bestehende Muster. Wer als Organisation unklar führt, wird mit KI noch unklarer führen. Wer Entscheidungen delegiert, ohne sich zuständig zu fühlen, wird durch KI noch unzuständiger werden. Reife heißt: ein System werden, das mit dieser Intelligenz umgehen kann — kognitiv, kulturell, sinnlich.</w:t>
      </w:r>
    </w:p>
    <w:p>
      <w:pPr>
        <w:spacing w:after="240" w:line="348" w:lineRule="auto"/>
      </w:pPr>
      <w:r>
        <w:rPr>
          <w:rFonts w:ascii="Arial" w:hAnsi="Arial"/>
          <w:b/>
          <w:i w:val="0"/>
          <w:color w:val="D4802A"/>
          <w:sz w:val="24"/>
        </w:rPr>
        <w:t xml:space="preserve">9.  </w:t>
      </w:r>
      <w:r>
        <w:rPr>
          <w:rFonts w:ascii="Arial" w:hAnsi="Arial"/>
          <w:b/>
          <w:i w:val="0"/>
          <w:sz w:val="24"/>
        </w:rPr>
        <w:t xml:space="preserve">Sustainability bedeutet jetzt zuerst: Überlebensfähigkeit. </w:t>
      </w:r>
      <w:r>
        <w:rPr>
          <w:rFonts w:ascii="Arial" w:hAnsi="Arial"/>
          <w:b w:val="0"/>
          <w:i w:val="0"/>
          <w:sz w:val="24"/>
        </w:rPr>
        <w:t>Nicht ESG-Reporting, nicht CO₂-Bilanz im Buntem-Stapel. Sondern die Fähigkeit der Organisation, im neuen Betriebssystem überhaupt anschlussfähig zu bleiben. Wer das nicht versteht, hat in fünf Jahren keinen Bericht mehr zu schreiben.</w:t>
      </w:r>
    </w:p>
    <w:p>
      <w:pPr>
        <w:spacing w:after="240" w:line="348" w:lineRule="auto"/>
      </w:pPr>
      <w:r>
        <w:rPr>
          <w:rFonts w:ascii="Arial" w:hAnsi="Arial"/>
          <w:b/>
          <w:i w:val="0"/>
          <w:color w:val="D4802A"/>
          <w:sz w:val="24"/>
        </w:rPr>
        <w:t xml:space="preserve">10.  </w:t>
      </w:r>
      <w:r>
        <w:rPr>
          <w:rFonts w:ascii="Arial" w:hAnsi="Arial"/>
          <w:b/>
          <w:i w:val="0"/>
          <w:sz w:val="24"/>
        </w:rPr>
        <w:t xml:space="preserve">Wir wollen Führungskräften nicht erklären, was KI ist. Wir wollen ihnen die Bedingungen geben, in denen sie ein System werden, das mit ihr umgehen kann. </w:t>
      </w:r>
      <w:r>
        <w:rPr>
          <w:rFonts w:ascii="Arial" w:hAnsi="Arial"/>
          <w:b w:val="0"/>
          <w:i w:val="0"/>
          <w:sz w:val="24"/>
        </w:rPr>
        <w:t>Das ist HAL. 2,5 Tage in der Natur. Keine Folien. Zwölf Entscheider. Drei Wirkebenen — strategisch, kreativ, kulturell. Wer das braucht, weiß es, sobald er die obigen neun Sätze gelesen hat.</w:t>
      </w:r>
    </w:p>
    <w:p>
      <w:pPr>
        <w:spacing w:before="80" w:after="200"/>
        <w:pBdr>
          <w:bottom w:val="single" w:sz="6" w:space="1" w:color="999999"/>
        </w:pBdr>
      </w:pPr>
    </w:p>
    <w:p>
      <w:pPr>
        <w:spacing w:after="80" w:line="336" w:lineRule="auto"/>
      </w:pPr>
      <w:r>
        <w:rPr>
          <w:rFonts w:ascii="Arial" w:hAnsi="Arial"/>
          <w:b w:val="0"/>
          <w:i/>
          <w:color w:val="666666"/>
          <w:sz w:val="20"/>
        </w:rPr>
        <w:t>Diese zehn Sätze sind unsere Anschauung. Was daraus für die Einladung folgt, steht auf dem zweiten Zettel: HAL — Sales-Argumentation.</w:t>
      </w:r>
    </w:p>
    <w:p>
      <w:pPr>
        <w:spacing w:after="160" w:line="336" w:lineRule="auto"/>
      </w:pPr>
      <w:r>
        <w:rPr>
          <w:rFonts w:ascii="Arial" w:hAnsi="Arial"/>
          <w:b w:val="0"/>
          <w:i/>
          <w:color w:val="666666"/>
          <w:sz w:val="20"/>
        </w:rPr>
        <w:t>Stand 12.05.2026. Versioniert. Vor jeder neuen Akquise-Welle gemeinsam überprüfen und ggf. nachschärfen.</w:t>
      </w:r>
    </w:p>
    <w:sectPr w:rsidR="00FC693F" w:rsidRPr="0006063C" w:rsidSect="00034616">
      <w:pgSz w:w="11906" w:h="16838"/>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